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AEC12A8" w14:textId="77777777" w:rsidR="00F943DC" w:rsidRDefault="00A40608">
      <w:pPr>
        <w:pStyle w:val="Ttulo1"/>
      </w:pPr>
      <w:r>
        <w:t xml:space="preserve">11.2 </w:t>
      </w:r>
      <w:proofErr w:type="spellStart"/>
      <w:r>
        <w:t>Condiciones</w:t>
      </w:r>
      <w:proofErr w:type="spellEnd"/>
      <w:r>
        <w:t xml:space="preserve"> </w:t>
      </w:r>
      <w:proofErr w:type="spellStart"/>
      <w:r>
        <w:t>socioeconómicas</w:t>
      </w:r>
      <w:proofErr w:type="spellEnd"/>
      <w:r>
        <w:t xml:space="preserve">, </w:t>
      </w:r>
      <w:proofErr w:type="spellStart"/>
      <w:r>
        <w:t>educativas</w:t>
      </w:r>
      <w:proofErr w:type="spellEnd"/>
      <w:r>
        <w:t>, de género, migración y violencias en las localidades y UPZ de Bogotá, 2008-2024</w:t>
      </w:r>
    </w:p>
    <w:p w14:paraId="3D946E67" w14:textId="77777777" w:rsidR="00F943DC" w:rsidRDefault="00A40608">
      <w:pPr>
        <w:pStyle w:val="Ttulo2"/>
      </w:pPr>
      <w:r>
        <w:t>11.2.1 Condiciones socioeconómicas</w:t>
      </w:r>
    </w:p>
    <w:p w14:paraId="025C482D" w14:textId="77777777" w:rsidR="00F943DC" w:rsidRDefault="00A40608">
      <w:pPr>
        <w:pStyle w:val="Ttulo3"/>
      </w:pPr>
      <w:r>
        <w:t>Índice de Pobreza Multidimensional (IPM)</w:t>
      </w:r>
    </w:p>
    <w:p w14:paraId="2949A943" w14:textId="77777777" w:rsidR="007E3C23" w:rsidRPr="00A40608" w:rsidRDefault="007E3C23" w:rsidP="007E3C23">
      <w:pPr>
        <w:spacing w:line="360" w:lineRule="exact"/>
        <w:jc w:val="both"/>
        <w:rPr>
          <w:sz w:val="20"/>
          <w:szCs w:val="20"/>
          <w:lang w:val="es-CO"/>
        </w:rPr>
      </w:pPr>
      <w:r w:rsidRPr="00A40608">
        <w:rPr>
          <w:sz w:val="20"/>
          <w:szCs w:val="20"/>
          <w:lang w:val="es-CO"/>
        </w:rPr>
        <w:t>La distribución territorial del IPM en Bogotá no refleja una variación aleatoria, sino la expresión espacial de procesos históricos de segregación socioeconómica. El corredor nororiental —con valores inferiores a 2,5 %— contrasta con el suroriente y la periferia sur, donde el indicador supera el 10 %, configurando lo que Sabatini, Cáceres y Cerda describen como un patrón estructural de concentración de privaciones en las periferias urbanas latinoamericanas, alejadas de los servicios, equipamientos y oportunidades de calidad</w:t>
      </w:r>
      <w:commentRangeStart w:id="0"/>
      <w:r w:rsidRPr="00A40608">
        <w:rPr>
          <w:sz w:val="20"/>
          <w:szCs w:val="20"/>
          <w:highlight w:val="yellow"/>
          <w:vertAlign w:val="superscript"/>
          <w:lang w:val="es-CO"/>
        </w:rPr>
        <w:t>(1)</w:t>
      </w:r>
      <w:r w:rsidRPr="00A40608">
        <w:rPr>
          <w:sz w:val="20"/>
          <w:szCs w:val="20"/>
          <w:lang w:val="es-CO"/>
        </w:rPr>
        <w:t xml:space="preserve">. </w:t>
      </w:r>
      <w:commentRangeEnd w:id="0"/>
      <w:r w:rsidRPr="00A40608">
        <w:rPr>
          <w:rStyle w:val="Refdecomentario"/>
          <w:sz w:val="20"/>
          <w:szCs w:val="20"/>
          <w:lang w:val="es-CO"/>
        </w:rPr>
        <w:commentReference w:id="0"/>
      </w:r>
      <w:r w:rsidRPr="00A40608">
        <w:rPr>
          <w:sz w:val="20"/>
          <w:szCs w:val="20"/>
          <w:lang w:val="es-CO"/>
        </w:rPr>
        <w:t xml:space="preserve">Este </w:t>
      </w:r>
      <w:proofErr w:type="spellStart"/>
      <w:r w:rsidRPr="00A40608">
        <w:rPr>
          <w:sz w:val="20"/>
          <w:szCs w:val="20"/>
          <w:lang w:val="es-CO"/>
        </w:rPr>
        <w:t>patron</w:t>
      </w:r>
      <w:proofErr w:type="spellEnd"/>
      <w:r w:rsidRPr="00A40608">
        <w:rPr>
          <w:sz w:val="20"/>
          <w:szCs w:val="20"/>
          <w:lang w:val="es-CO"/>
        </w:rPr>
        <w:t xml:space="preserve"> espacial es consistente con la evidencia documental de la Secretaría Distrital de Planeación, que identifica en Bogotá una segregación </w:t>
      </w:r>
      <w:proofErr w:type="spellStart"/>
      <w:r w:rsidRPr="00A40608">
        <w:rPr>
          <w:sz w:val="20"/>
          <w:szCs w:val="20"/>
          <w:lang w:val="es-CO"/>
        </w:rPr>
        <w:t>socioespacial</w:t>
      </w:r>
      <w:proofErr w:type="spellEnd"/>
      <w:r w:rsidRPr="00A40608">
        <w:rPr>
          <w:sz w:val="20"/>
          <w:szCs w:val="20"/>
          <w:lang w:val="es-CO"/>
        </w:rPr>
        <w:t xml:space="preserve"> consolidada, en la que las localidades del sur concentran simultáneamente los mayores déficits en vivienda, educación, acceso a servicios básicos y empleo formal — privaciones que el IPM captura de manera </w:t>
      </w:r>
      <w:commentRangeStart w:id="1"/>
      <w:r w:rsidRPr="00A40608">
        <w:rPr>
          <w:sz w:val="20"/>
          <w:szCs w:val="20"/>
          <w:lang w:val="es-CO"/>
        </w:rPr>
        <w:t>integral</w:t>
      </w:r>
      <w:commentRangeEnd w:id="1"/>
      <w:r w:rsidRPr="00A40608">
        <w:rPr>
          <w:rStyle w:val="Refdecomentario"/>
          <w:sz w:val="20"/>
          <w:szCs w:val="20"/>
          <w:lang w:val="es-CO"/>
        </w:rPr>
        <w:commentReference w:id="1"/>
      </w:r>
      <w:r w:rsidRPr="00A40608">
        <w:rPr>
          <w:sz w:val="20"/>
          <w:szCs w:val="20"/>
          <w:highlight w:val="yellow"/>
          <w:vertAlign w:val="superscript"/>
          <w:lang w:val="es-CO"/>
        </w:rPr>
        <w:t>(2)</w:t>
      </w:r>
      <w:r w:rsidRPr="00A40608">
        <w:rPr>
          <w:sz w:val="20"/>
          <w:szCs w:val="20"/>
          <w:highlight w:val="yellow"/>
          <w:lang w:val="es-CO"/>
        </w:rPr>
        <w:t>.</w:t>
      </w:r>
    </w:p>
    <w:p w14:paraId="09EF2AB0" w14:textId="77777777" w:rsidR="007E3C23" w:rsidRPr="00A40608" w:rsidRDefault="007E3C23" w:rsidP="007E3C23">
      <w:pPr>
        <w:spacing w:line="360" w:lineRule="exact"/>
        <w:jc w:val="both"/>
        <w:rPr>
          <w:sz w:val="20"/>
          <w:szCs w:val="20"/>
          <w:lang w:val="es-CO"/>
        </w:rPr>
      </w:pPr>
      <w:r w:rsidRPr="00A40608">
        <w:rPr>
          <w:sz w:val="20"/>
          <w:szCs w:val="20"/>
          <w:lang w:val="es-CO"/>
        </w:rPr>
        <w:t xml:space="preserve">La dinámica temporal 2017–2021 revela un aspecto que el promedio distrital tiende a ocultar: la mejora agregada del indicador coexistió con el deterioro en localidades de vulnerabilidad intermedia. Los Mártires, Rafael Uribe </w:t>
      </w:r>
      <w:proofErr w:type="spellStart"/>
      <w:r w:rsidRPr="00A40608">
        <w:rPr>
          <w:sz w:val="20"/>
          <w:szCs w:val="20"/>
          <w:lang w:val="es-CO"/>
        </w:rPr>
        <w:t>Uribe</w:t>
      </w:r>
      <w:proofErr w:type="spellEnd"/>
      <w:r w:rsidRPr="00A40608">
        <w:rPr>
          <w:sz w:val="20"/>
          <w:szCs w:val="20"/>
          <w:lang w:val="es-CO"/>
        </w:rPr>
        <w:t>, Santa Fe y Antonio Nariño incrementaron su IPM en el período, mientras localidades históricamente más pobres como Sumapaz y San Cristóbal redujeron el suyo. Este comportamiento divergente deja ver como se agudiza la pobreza multidimensional precisamente en localidades con mayor proporción de hogares en informalidad laboral y sin redes de protección social consolidadas.</w:t>
      </w:r>
    </w:p>
    <w:p w14:paraId="37456706" w14:textId="77777777" w:rsidR="007E3C23" w:rsidRDefault="007E3C23" w:rsidP="007E3C23">
      <w:pPr>
        <w:spacing w:line="360" w:lineRule="exact"/>
        <w:jc w:val="both"/>
        <w:rPr>
          <w:sz w:val="24"/>
          <w:lang w:val="es-CO"/>
        </w:rPr>
      </w:pPr>
      <w:r w:rsidRPr="00A40608">
        <w:rPr>
          <w:sz w:val="20"/>
          <w:szCs w:val="20"/>
          <w:lang w:val="es-CO"/>
        </w:rPr>
        <w:t xml:space="preserve">La relevancia del IPM para este estudio radica en su capacidad explicativa frente a la fecundidad en niñas y adolescentes. Flórez y Soto documentan, para el caso colombiano, que la probabilidad de embarazo adolescente es significativamente mayor en los quintiles de mayor pobreza, y que los diferenciales socioeconómicos de la fecundidad en adolescente operan fundamentalmente a través de sus determinantes próximos: mayor tiempo de exposición al riesgo, menor uso de anticoncepción y mayor demanda insatisfecha de planificación </w:t>
      </w:r>
      <w:proofErr w:type="gramStart"/>
      <w:r w:rsidRPr="00A40608">
        <w:rPr>
          <w:sz w:val="20"/>
          <w:szCs w:val="20"/>
          <w:lang w:val="es-CO"/>
        </w:rPr>
        <w:t>familiar</w:t>
      </w:r>
      <w:commentRangeStart w:id="2"/>
      <w:r w:rsidRPr="00A40608">
        <w:rPr>
          <w:sz w:val="20"/>
          <w:szCs w:val="20"/>
          <w:highlight w:val="yellow"/>
          <w:vertAlign w:val="superscript"/>
          <w:lang w:val="es-CO"/>
        </w:rPr>
        <w:t>(</w:t>
      </w:r>
      <w:proofErr w:type="gramEnd"/>
      <w:r w:rsidRPr="00A40608">
        <w:rPr>
          <w:sz w:val="20"/>
          <w:szCs w:val="20"/>
          <w:highlight w:val="yellow"/>
          <w:vertAlign w:val="superscript"/>
          <w:lang w:val="es-CO"/>
        </w:rPr>
        <w:t>3)</w:t>
      </w:r>
      <w:r w:rsidRPr="00A40608">
        <w:rPr>
          <w:sz w:val="20"/>
          <w:szCs w:val="20"/>
          <w:highlight w:val="yellow"/>
          <w:lang w:val="es-CO"/>
        </w:rPr>
        <w:t>.</w:t>
      </w:r>
      <w:r w:rsidRPr="00A40608">
        <w:rPr>
          <w:sz w:val="20"/>
          <w:szCs w:val="20"/>
          <w:lang w:val="es-CO"/>
        </w:rPr>
        <w:t xml:space="preserve"> </w:t>
      </w:r>
      <w:commentRangeEnd w:id="2"/>
      <w:r w:rsidRPr="00A40608">
        <w:rPr>
          <w:rStyle w:val="Refdecomentario"/>
          <w:sz w:val="20"/>
          <w:szCs w:val="20"/>
          <w:lang w:val="es-CO"/>
        </w:rPr>
        <w:commentReference w:id="2"/>
      </w:r>
      <w:r w:rsidRPr="00A40608">
        <w:rPr>
          <w:sz w:val="20"/>
          <w:szCs w:val="20"/>
          <w:lang w:val="es-CO"/>
        </w:rPr>
        <w:t xml:space="preserve">En el mismo sentido, la OPS/OMS señala que el embarazo adolescente en América Latina es, ante todo, un fenómeno de desigualdad: su incidencia no se distribuye homogéneamente en la población, sino que se concentra en los grupos con mayores privaciones sociales y económicas, entre ellos las adolescentes residentes en territorios urbanos segregados con acceso limitado a educación de calidad y a servicios de salud sexual y </w:t>
      </w:r>
      <w:proofErr w:type="gramStart"/>
      <w:r w:rsidRPr="00A40608">
        <w:rPr>
          <w:sz w:val="20"/>
          <w:szCs w:val="20"/>
          <w:lang w:val="es-CO"/>
        </w:rPr>
        <w:t>reproductiva</w:t>
      </w:r>
      <w:r w:rsidRPr="00A40608">
        <w:rPr>
          <w:sz w:val="20"/>
          <w:szCs w:val="20"/>
          <w:highlight w:val="yellow"/>
          <w:vertAlign w:val="superscript"/>
          <w:lang w:val="es-CO"/>
        </w:rPr>
        <w:t>(</w:t>
      </w:r>
      <w:commentRangeStart w:id="3"/>
      <w:proofErr w:type="gramEnd"/>
      <w:r w:rsidRPr="00A40608">
        <w:rPr>
          <w:sz w:val="20"/>
          <w:szCs w:val="20"/>
          <w:highlight w:val="yellow"/>
          <w:vertAlign w:val="superscript"/>
          <w:lang w:val="es-CO"/>
        </w:rPr>
        <w:t>4)</w:t>
      </w:r>
      <w:r w:rsidRPr="00A40608">
        <w:rPr>
          <w:sz w:val="20"/>
          <w:szCs w:val="20"/>
          <w:highlight w:val="yellow"/>
          <w:lang w:val="es-CO"/>
        </w:rPr>
        <w:t>.</w:t>
      </w:r>
      <w:r w:rsidRPr="00A40608">
        <w:rPr>
          <w:sz w:val="20"/>
          <w:szCs w:val="20"/>
          <w:lang w:val="es-CO"/>
        </w:rPr>
        <w:t xml:space="preserve"> </w:t>
      </w:r>
      <w:commentRangeEnd w:id="3"/>
      <w:r w:rsidRPr="00A40608">
        <w:rPr>
          <w:rStyle w:val="Refdecomentario"/>
          <w:sz w:val="20"/>
          <w:szCs w:val="20"/>
          <w:lang w:val="es-CO"/>
        </w:rPr>
        <w:commentReference w:id="3"/>
      </w:r>
      <w:r w:rsidRPr="00A40608">
        <w:rPr>
          <w:sz w:val="20"/>
          <w:szCs w:val="20"/>
          <w:lang w:val="es-CO"/>
        </w:rPr>
        <w:t xml:space="preserve">En Bogotá, el patrón espacial del evento </w:t>
      </w:r>
      <w:r w:rsidRPr="00A40608">
        <w:rPr>
          <w:sz w:val="20"/>
          <w:szCs w:val="20"/>
          <w:lang w:val="es-CO"/>
        </w:rPr>
        <w:lastRenderedPageBreak/>
        <w:t>coincide en gran medida con las características descritas previamente, concentrándose en localidades como Los Mártires, Tunjuelito, Ciudad Bolívar y La Candelaria, territorios que históricamente presentan mayores condiciones de vulnerabilidad social. No obstante, también se observan algunas particularidades, como el comportamiento registrado en Teusaquillo, una localidad que, en términos generales, presenta mejores condiciones de calidad de vida. Esta situación podría estar asociada a su estructura demográfica, caracterizada por una pirámide poblacional regresiva y una menor proporción de población en los grupos etarios de interés.</w:t>
      </w:r>
      <w:r w:rsidRPr="00154DC6">
        <w:rPr>
          <w:sz w:val="24"/>
          <w:lang w:val="es-CO"/>
        </w:rPr>
        <w:t xml:space="preserve"> </w:t>
      </w:r>
    </w:p>
    <w:tbl>
      <w:tblPr>
        <w:tblStyle w:val="Tablaconcuadrcula"/>
        <w:tblW w:w="95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5187"/>
      </w:tblGrid>
      <w:tr w:rsidR="007E3C23" w14:paraId="0D326407" w14:textId="77777777" w:rsidTr="00A7275F">
        <w:trPr>
          <w:trHeight w:val="7010"/>
          <w:jc w:val="center"/>
        </w:trPr>
        <w:tc>
          <w:tcPr>
            <w:tcW w:w="4395" w:type="dxa"/>
          </w:tcPr>
          <w:p w14:paraId="7C8E16C9" w14:textId="77777777" w:rsidR="007E3C23" w:rsidRDefault="007E3C23" w:rsidP="00A7275F">
            <w:pPr>
              <w:spacing w:after="280"/>
              <w:jc w:val="both"/>
            </w:pPr>
            <w:r>
              <w:rPr>
                <w:noProof/>
                <w:lang w:val="es-MX" w:eastAsia="es-MX"/>
              </w:rPr>
              <w:drawing>
                <wp:inline distT="0" distB="0" distL="0" distR="0" wp14:anchorId="6F8CA4AA" wp14:editId="019612FC">
                  <wp:extent cx="2660650" cy="4382009"/>
                  <wp:effectExtent l="0" t="0" r="635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PM_2021_BogotaDC.png"/>
                          <pic:cNvPicPr/>
                        </pic:nvPicPr>
                        <pic:blipFill>
                          <a:blip r:embed="rId8">
                            <a:extLst>
                              <a:ext uri="{28A0092B-C50C-407E-A947-70E740481C1C}">
                                <a14:useLocalDpi xmlns:a14="http://schemas.microsoft.com/office/drawing/2010/main" val="0"/>
                              </a:ext>
                            </a:extLst>
                          </a:blip>
                          <a:stretch>
                            <a:fillRect/>
                          </a:stretch>
                        </pic:blipFill>
                        <pic:spPr>
                          <a:xfrm>
                            <a:off x="0" y="0"/>
                            <a:ext cx="2664113" cy="4387712"/>
                          </a:xfrm>
                          <a:prstGeom prst="rect">
                            <a:avLst/>
                          </a:prstGeom>
                        </pic:spPr>
                      </pic:pic>
                    </a:graphicData>
                  </a:graphic>
                </wp:inline>
              </w:drawing>
            </w:r>
          </w:p>
        </w:tc>
        <w:tc>
          <w:tcPr>
            <w:tcW w:w="5187" w:type="dxa"/>
          </w:tcPr>
          <w:p w14:paraId="720D1367" w14:textId="77777777" w:rsidR="007E3C23" w:rsidRDefault="007E3C23" w:rsidP="00A7275F">
            <w:pPr>
              <w:spacing w:after="280"/>
              <w:jc w:val="both"/>
              <w:rPr>
                <w:noProof/>
                <w:lang w:val="es-MX" w:eastAsia="es-MX"/>
              </w:rPr>
            </w:pPr>
          </w:p>
          <w:p w14:paraId="7AAE5651" w14:textId="77777777" w:rsidR="007E3C23" w:rsidRDefault="007E3C23" w:rsidP="00A7275F">
            <w:pPr>
              <w:spacing w:after="280"/>
              <w:jc w:val="both"/>
            </w:pPr>
            <w:r>
              <w:rPr>
                <w:noProof/>
                <w:lang w:val="es-MX" w:eastAsia="es-MX"/>
              </w:rPr>
              <w:drawing>
                <wp:inline distT="0" distB="0" distL="0" distR="0" wp14:anchorId="7562FF85" wp14:editId="71F19770">
                  <wp:extent cx="3137553" cy="3460750"/>
                  <wp:effectExtent l="0" t="0" r="5715"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PM_Lollipop_2017_2021.png"/>
                          <pic:cNvPicPr/>
                        </pic:nvPicPr>
                        <pic:blipFill>
                          <a:blip r:embed="rId9">
                            <a:extLst>
                              <a:ext uri="{28A0092B-C50C-407E-A947-70E740481C1C}">
                                <a14:useLocalDpi xmlns:a14="http://schemas.microsoft.com/office/drawing/2010/main" val="0"/>
                              </a:ext>
                            </a:extLst>
                          </a:blip>
                          <a:stretch>
                            <a:fillRect/>
                          </a:stretch>
                        </pic:blipFill>
                        <pic:spPr>
                          <a:xfrm>
                            <a:off x="0" y="0"/>
                            <a:ext cx="3145904" cy="3469961"/>
                          </a:xfrm>
                          <a:prstGeom prst="rect">
                            <a:avLst/>
                          </a:prstGeom>
                        </pic:spPr>
                      </pic:pic>
                    </a:graphicData>
                  </a:graphic>
                </wp:inline>
              </w:drawing>
            </w:r>
          </w:p>
        </w:tc>
      </w:tr>
    </w:tbl>
    <w:p w14:paraId="61342B18" w14:textId="77777777" w:rsidR="00F943DC" w:rsidRDefault="00F943DC"/>
    <w:p w14:paraId="29662DA8" w14:textId="77777777" w:rsidR="00F943DC" w:rsidRDefault="00A40608">
      <w:pPr>
        <w:pStyle w:val="Ttulo3"/>
      </w:pPr>
      <w:r>
        <w:t>Espacio Público Efectivo (EPE)</w:t>
      </w:r>
    </w:p>
    <w:p w14:paraId="4FF25C20" w14:textId="77777777" w:rsidR="00F943DC" w:rsidRPr="007E3C23" w:rsidRDefault="007E3C23" w:rsidP="007E3C23">
      <w:pPr>
        <w:jc w:val="both"/>
        <w:rPr>
          <w:sz w:val="20"/>
          <w:szCs w:val="20"/>
          <w:lang w:val="es-CO"/>
        </w:rPr>
      </w:pPr>
      <w:r w:rsidRPr="007E3C23">
        <w:rPr>
          <w:sz w:val="20"/>
          <w:szCs w:val="20"/>
          <w:lang w:val="es-CO"/>
        </w:rPr>
        <w:t xml:space="preserve">El déficit de espacio público efectivo en Bogotá no se distribuye de manera homogénea en el territorio, sino que reproduce y profundiza las desigualdades </w:t>
      </w:r>
      <w:proofErr w:type="spellStart"/>
      <w:r w:rsidRPr="007E3C23">
        <w:rPr>
          <w:sz w:val="20"/>
          <w:szCs w:val="20"/>
          <w:lang w:val="es-CO"/>
        </w:rPr>
        <w:t>socioespaciales</w:t>
      </w:r>
      <w:proofErr w:type="spellEnd"/>
      <w:r w:rsidRPr="007E3C23">
        <w:rPr>
          <w:sz w:val="20"/>
          <w:szCs w:val="20"/>
          <w:lang w:val="es-CO"/>
        </w:rPr>
        <w:t xml:space="preserve"> preexistentes. La mediana distrital de 4,21 m²/</w:t>
      </w:r>
      <w:proofErr w:type="spellStart"/>
      <w:r w:rsidRPr="007E3C23">
        <w:rPr>
          <w:sz w:val="20"/>
          <w:szCs w:val="20"/>
          <w:lang w:val="es-CO"/>
        </w:rPr>
        <w:t>hab</w:t>
      </w:r>
      <w:proofErr w:type="spellEnd"/>
      <w:r w:rsidRPr="007E3C23">
        <w:rPr>
          <w:sz w:val="20"/>
          <w:szCs w:val="20"/>
          <w:lang w:val="es-CO"/>
        </w:rPr>
        <w:t xml:space="preserve"> representa apenas el 28 % del estándar internacional de 15 m²/</w:t>
      </w:r>
      <w:proofErr w:type="spellStart"/>
      <w:r w:rsidRPr="007E3C23">
        <w:rPr>
          <w:sz w:val="20"/>
          <w:szCs w:val="20"/>
          <w:lang w:val="es-CO"/>
        </w:rPr>
        <w:t>hab</w:t>
      </w:r>
      <w:proofErr w:type="spellEnd"/>
      <w:r w:rsidRPr="007E3C23">
        <w:rPr>
          <w:sz w:val="20"/>
          <w:szCs w:val="20"/>
          <w:lang w:val="es-CO"/>
        </w:rPr>
        <w:t xml:space="preserve"> recomendado por la Organización Mundial de la Salud, y la mayoría de las localidades se mantiene consistentemente por debajo de ese umbral durante todo el período analizado. Esta condición estructural es especialmente crítica en localidades como Bosa, Los Mártires, Rafael Uribe </w:t>
      </w:r>
      <w:proofErr w:type="spellStart"/>
      <w:r w:rsidRPr="007E3C23">
        <w:rPr>
          <w:sz w:val="20"/>
          <w:szCs w:val="20"/>
          <w:lang w:val="es-CO"/>
        </w:rPr>
        <w:t>Uribe</w:t>
      </w:r>
      <w:proofErr w:type="spellEnd"/>
      <w:r w:rsidRPr="007E3C23">
        <w:rPr>
          <w:sz w:val="20"/>
          <w:szCs w:val="20"/>
          <w:lang w:val="es-CO"/>
        </w:rPr>
        <w:t xml:space="preserve"> y Ciudad Bolívar, donde el indicador no solo está por debajo del promedio distrital, sino que en varios cortes temporales no alcanza siquiera la mitad de dicho valor. ONU-Hábitat </w:t>
      </w:r>
      <w:r w:rsidRPr="007E3C23">
        <w:rPr>
          <w:sz w:val="20"/>
          <w:szCs w:val="20"/>
          <w:lang w:val="es-CO"/>
        </w:rPr>
        <w:lastRenderedPageBreak/>
        <w:t xml:space="preserve">señala que la inequidad en el acceso al espacio público constituye una expresión concreta de la desigualdad urbana: los grupos de población más vulnerables tienden a residir en territorios con menor oferta, menor calidad y menor accesibilidad a espacios de uso colectivo, lo que agrava la concentración de desventajas sociales en los mismos </w:t>
      </w:r>
      <w:commentRangeStart w:id="4"/>
      <w:r w:rsidRPr="007E3C23">
        <w:rPr>
          <w:sz w:val="20"/>
          <w:szCs w:val="20"/>
          <w:lang w:val="es-CO"/>
        </w:rPr>
        <w:t>territorios</w:t>
      </w:r>
      <w:commentRangeEnd w:id="4"/>
      <w:r w:rsidRPr="007E3C23">
        <w:rPr>
          <w:rStyle w:val="Refdecomentario"/>
          <w:sz w:val="20"/>
          <w:szCs w:val="20"/>
          <w:lang w:val="es-CO"/>
        </w:rPr>
        <w:commentReference w:id="4"/>
      </w:r>
      <w:r w:rsidRPr="007E3C23">
        <w:rPr>
          <w:sz w:val="20"/>
          <w:szCs w:val="20"/>
          <w:lang w:val="es-CO"/>
        </w:rPr>
        <w:t xml:space="preserve"> </w:t>
      </w:r>
      <w:r w:rsidR="00A40608" w:rsidRPr="00A40608">
        <w:rPr>
          <w:sz w:val="20"/>
          <w:szCs w:val="20"/>
          <w:highlight w:val="yellow"/>
          <w:lang w:val="es-CO"/>
        </w:rPr>
        <w:t>(5).</w:t>
      </w:r>
    </w:p>
    <w:p w14:paraId="1FC50627" w14:textId="77777777" w:rsidR="00F943DC" w:rsidRPr="007E3C23" w:rsidRDefault="007E3C23" w:rsidP="007E3C23">
      <w:pPr>
        <w:jc w:val="both"/>
        <w:rPr>
          <w:sz w:val="20"/>
          <w:szCs w:val="20"/>
          <w:lang w:val="es-CO"/>
        </w:rPr>
      </w:pPr>
      <w:r w:rsidRPr="007E3C23">
        <w:rPr>
          <w:sz w:val="20"/>
          <w:szCs w:val="20"/>
          <w:highlight w:val="yellow"/>
          <w:lang w:val="es-CO"/>
        </w:rPr>
        <w:t xml:space="preserve">El </w:t>
      </w:r>
      <w:proofErr w:type="spellStart"/>
      <w:r w:rsidRPr="007E3C23">
        <w:rPr>
          <w:sz w:val="20"/>
          <w:szCs w:val="20"/>
          <w:highlight w:val="yellow"/>
          <w:lang w:val="es-CO"/>
        </w:rPr>
        <w:t>heatmap</w:t>
      </w:r>
      <w:proofErr w:type="spellEnd"/>
      <w:r w:rsidRPr="007E3C23">
        <w:rPr>
          <w:sz w:val="20"/>
          <w:szCs w:val="20"/>
          <w:lang w:val="es-CO"/>
        </w:rPr>
        <w:t xml:space="preserve"> revela una tendencia de deterioro generalizado entre 2016 y 2023 en la mayoría de las localidades. Usaquén pasó de 8,2 a 3,7 m²/</w:t>
      </w:r>
      <w:proofErr w:type="spellStart"/>
      <w:r w:rsidRPr="007E3C23">
        <w:rPr>
          <w:sz w:val="20"/>
          <w:szCs w:val="20"/>
          <w:lang w:val="es-CO"/>
        </w:rPr>
        <w:t>hab</w:t>
      </w:r>
      <w:proofErr w:type="spellEnd"/>
      <w:r w:rsidRPr="007E3C23">
        <w:rPr>
          <w:sz w:val="20"/>
          <w:szCs w:val="20"/>
          <w:lang w:val="es-CO"/>
        </w:rPr>
        <w:t>, Suba de 10,2 a 3,9 m²/</w:t>
      </w:r>
      <w:proofErr w:type="spellStart"/>
      <w:r w:rsidRPr="007E3C23">
        <w:rPr>
          <w:sz w:val="20"/>
          <w:szCs w:val="20"/>
          <w:lang w:val="es-CO"/>
        </w:rPr>
        <w:t>hab</w:t>
      </w:r>
      <w:proofErr w:type="spellEnd"/>
      <w:r w:rsidRPr="007E3C23">
        <w:rPr>
          <w:sz w:val="20"/>
          <w:szCs w:val="20"/>
          <w:lang w:val="es-CO"/>
        </w:rPr>
        <w:t xml:space="preserve"> y Chapinero de 7,8 a 4,2 m²/</w:t>
      </w:r>
      <w:proofErr w:type="spellStart"/>
      <w:r w:rsidRPr="007E3C23">
        <w:rPr>
          <w:sz w:val="20"/>
          <w:szCs w:val="20"/>
          <w:lang w:val="es-CO"/>
        </w:rPr>
        <w:t>hab</w:t>
      </w:r>
      <w:proofErr w:type="spellEnd"/>
      <w:r w:rsidRPr="007E3C23">
        <w:rPr>
          <w:sz w:val="20"/>
          <w:szCs w:val="20"/>
          <w:lang w:val="es-CO"/>
        </w:rPr>
        <w:t xml:space="preserve">, localidades que en 2016 superaban el promedio distrital y que en 2023 se encuentran por debajo de él. Esta reducción generalizada sugiere que el crecimiento poblacional ha superado la capacidad de generación de nuevo espacio público. Investigaciones realizadas para el caso de Bogotá documentan que el crecimiento urbano ha dificultado históricamente las dotaciones de espacio público, particularmente en las zonas de expansión periférica de origen informal, donde la planificación ha sido reactiva y no </w:t>
      </w:r>
      <w:commentRangeStart w:id="5"/>
      <w:r w:rsidRPr="007E3C23">
        <w:rPr>
          <w:sz w:val="20"/>
          <w:szCs w:val="20"/>
          <w:lang w:val="es-CO"/>
        </w:rPr>
        <w:t>anticipatoria</w:t>
      </w:r>
      <w:commentRangeEnd w:id="5"/>
      <w:r w:rsidR="00A40608">
        <w:rPr>
          <w:rStyle w:val="Refdecomentario"/>
          <w:rFonts w:asciiTheme="minorHAnsi" w:hAnsiTheme="minorHAnsi"/>
        </w:rPr>
        <w:commentReference w:id="5"/>
      </w:r>
      <w:r w:rsidRPr="007E3C23">
        <w:rPr>
          <w:sz w:val="20"/>
          <w:szCs w:val="20"/>
          <w:lang w:val="es-CO"/>
        </w:rPr>
        <w:t xml:space="preserve"> </w:t>
      </w:r>
      <w:r w:rsidR="00A40608" w:rsidRPr="00A40608">
        <w:rPr>
          <w:sz w:val="20"/>
          <w:szCs w:val="20"/>
          <w:highlight w:val="yellow"/>
          <w:lang w:val="es-CO"/>
        </w:rPr>
        <w:t>(6).</w:t>
      </w:r>
    </w:p>
    <w:p w14:paraId="6489C76E" w14:textId="77777777" w:rsidR="007E3C23" w:rsidRPr="00A40608" w:rsidRDefault="007E3C23" w:rsidP="00A40608">
      <w:pPr>
        <w:jc w:val="both"/>
        <w:rPr>
          <w:sz w:val="20"/>
          <w:szCs w:val="20"/>
          <w:lang w:val="es-CO"/>
        </w:rPr>
      </w:pPr>
      <w:r w:rsidRPr="00A40608">
        <w:rPr>
          <w:sz w:val="20"/>
          <w:szCs w:val="20"/>
          <w:lang w:val="es-CO"/>
        </w:rPr>
        <w:t xml:space="preserve">La relevancia del EPE para este estudio trasciende la dimensión urbanística y se vincula con las condiciones de bienestar que configuran el entorno de vida de las adolescentes. El espacio público de calidad cumple funciones sociales fundamentales: constituye un escenario de recreación, socialización y desarrollo de habilidades para la población joven, cuya ausencia reduce las opciones de ocio supervisado y seguro, especialmente en los territorios periféricos. Estudios sobre inequidad en el acceso al espacio público en Bogotá documentan que la población residente en localidades con mayor déficit enfrenta una superposición de asimetrías territoriales que intensifica su vulnerabilidad </w:t>
      </w:r>
      <w:commentRangeStart w:id="6"/>
      <w:r w:rsidRPr="00A40608">
        <w:rPr>
          <w:sz w:val="20"/>
          <w:szCs w:val="20"/>
          <w:lang w:val="es-CO"/>
        </w:rPr>
        <w:t>social</w:t>
      </w:r>
      <w:commentRangeEnd w:id="6"/>
      <w:r w:rsidRPr="00A40608">
        <w:rPr>
          <w:lang w:val="es-CO"/>
        </w:rPr>
        <w:commentReference w:id="6"/>
      </w:r>
      <w:r w:rsidRPr="00A40608">
        <w:rPr>
          <w:sz w:val="20"/>
          <w:szCs w:val="20"/>
          <w:lang w:val="es-CO"/>
        </w:rPr>
        <w:t xml:space="preserve"> </w:t>
      </w:r>
      <w:r w:rsidR="00A40608" w:rsidRPr="00A40608">
        <w:rPr>
          <w:sz w:val="20"/>
          <w:szCs w:val="20"/>
          <w:highlight w:val="yellow"/>
          <w:lang w:val="es-CO"/>
        </w:rPr>
        <w:t>(7).</w:t>
      </w:r>
      <w:r w:rsidR="00A40608" w:rsidRPr="00A40608">
        <w:rPr>
          <w:sz w:val="20"/>
          <w:szCs w:val="20"/>
          <w:lang w:val="es-CO"/>
        </w:rPr>
        <w:t xml:space="preserve"> </w:t>
      </w:r>
      <w:r w:rsidRPr="00A40608">
        <w:rPr>
          <w:sz w:val="20"/>
          <w:szCs w:val="20"/>
          <w:lang w:val="es-CO"/>
        </w:rPr>
        <w:t xml:space="preserve">En este marco, la escasez de espacio público en localidades como Bosa, Ciudad Bolívar o Rafael Uribe </w:t>
      </w:r>
      <w:proofErr w:type="spellStart"/>
      <w:r w:rsidRPr="00A40608">
        <w:rPr>
          <w:sz w:val="20"/>
          <w:szCs w:val="20"/>
          <w:lang w:val="es-CO"/>
        </w:rPr>
        <w:t>Uribe</w:t>
      </w:r>
      <w:proofErr w:type="spellEnd"/>
      <w:r w:rsidRPr="00A40608">
        <w:rPr>
          <w:sz w:val="20"/>
          <w:szCs w:val="20"/>
          <w:lang w:val="es-CO"/>
        </w:rPr>
        <w:t xml:space="preserve"> —que coinciden con altas tasas de fecundidad adolescente históricamente reportadas— puede interpretarse como un componente adicional del entorno de privación que limita las oportunidades de desarrollo de las adolescentes y reduce sus posibilidades de acceder a entornos de recreación y socialización seguros, contribuyendo indirectamente a dinámicas de vulnerabilidad que favorecen el embarazo temprano.</w:t>
      </w:r>
    </w:p>
    <w:tbl>
      <w:tblPr>
        <w:tblStyle w:val="Tablaconcuadrcula"/>
        <w:tblW w:w="95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5187"/>
      </w:tblGrid>
      <w:tr w:rsidR="00A40608" w14:paraId="1729429D" w14:textId="77777777" w:rsidTr="00A7275F">
        <w:trPr>
          <w:trHeight w:val="7010"/>
          <w:jc w:val="center"/>
        </w:trPr>
        <w:tc>
          <w:tcPr>
            <w:tcW w:w="4395" w:type="dxa"/>
          </w:tcPr>
          <w:p w14:paraId="707271AE" w14:textId="77777777" w:rsidR="00A40608" w:rsidRDefault="00A40608" w:rsidP="00A7275F">
            <w:pPr>
              <w:spacing w:after="280"/>
              <w:jc w:val="both"/>
            </w:pPr>
            <w:r>
              <w:rPr>
                <w:noProof/>
                <w:lang w:val="es-MX" w:eastAsia="es-MX"/>
              </w:rPr>
              <w:lastRenderedPageBreak/>
              <w:drawing>
                <wp:inline distT="0" distB="0" distL="0" distR="0" wp14:anchorId="24ED4539" wp14:editId="3D855A6C">
                  <wp:extent cx="2653665" cy="4370705"/>
                  <wp:effectExtent l="0" t="0" r="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EPE_2023_BogotaDC.png"/>
                          <pic:cNvPicPr/>
                        </pic:nvPicPr>
                        <pic:blipFill>
                          <a:blip r:embed="rId10">
                            <a:extLst>
                              <a:ext uri="{28A0092B-C50C-407E-A947-70E740481C1C}">
                                <a14:useLocalDpi xmlns:a14="http://schemas.microsoft.com/office/drawing/2010/main" val="0"/>
                              </a:ext>
                            </a:extLst>
                          </a:blip>
                          <a:stretch>
                            <a:fillRect/>
                          </a:stretch>
                        </pic:blipFill>
                        <pic:spPr>
                          <a:xfrm>
                            <a:off x="0" y="0"/>
                            <a:ext cx="2653665" cy="4370705"/>
                          </a:xfrm>
                          <a:prstGeom prst="rect">
                            <a:avLst/>
                          </a:prstGeom>
                        </pic:spPr>
                      </pic:pic>
                    </a:graphicData>
                  </a:graphic>
                </wp:inline>
              </w:drawing>
            </w:r>
          </w:p>
        </w:tc>
        <w:tc>
          <w:tcPr>
            <w:tcW w:w="5187" w:type="dxa"/>
          </w:tcPr>
          <w:p w14:paraId="71802581" w14:textId="77777777" w:rsidR="00A40608" w:rsidRDefault="00A40608" w:rsidP="00A7275F">
            <w:pPr>
              <w:spacing w:after="280"/>
              <w:jc w:val="both"/>
              <w:rPr>
                <w:noProof/>
                <w:lang w:val="es-MX" w:eastAsia="es-MX"/>
              </w:rPr>
            </w:pPr>
          </w:p>
          <w:p w14:paraId="5C2BCB76" w14:textId="77777777" w:rsidR="00A40608" w:rsidRDefault="00A40608" w:rsidP="00A7275F">
            <w:pPr>
              <w:spacing w:after="280"/>
              <w:jc w:val="both"/>
            </w:pPr>
            <w:r>
              <w:rPr>
                <w:noProof/>
                <w:lang w:val="es-MX" w:eastAsia="es-MX"/>
              </w:rPr>
              <w:drawing>
                <wp:inline distT="0" distB="0" distL="0" distR="0" wp14:anchorId="3FEABC59" wp14:editId="2B487761">
                  <wp:extent cx="3156585" cy="2837180"/>
                  <wp:effectExtent l="0" t="0" r="5715" b="127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PE_Heatmap_Localidades.png"/>
                          <pic:cNvPicPr/>
                        </pic:nvPicPr>
                        <pic:blipFill>
                          <a:blip r:embed="rId11">
                            <a:extLst>
                              <a:ext uri="{28A0092B-C50C-407E-A947-70E740481C1C}">
                                <a14:useLocalDpi xmlns:a14="http://schemas.microsoft.com/office/drawing/2010/main" val="0"/>
                              </a:ext>
                            </a:extLst>
                          </a:blip>
                          <a:stretch>
                            <a:fillRect/>
                          </a:stretch>
                        </pic:blipFill>
                        <pic:spPr>
                          <a:xfrm>
                            <a:off x="0" y="0"/>
                            <a:ext cx="3156585" cy="2837180"/>
                          </a:xfrm>
                          <a:prstGeom prst="rect">
                            <a:avLst/>
                          </a:prstGeom>
                        </pic:spPr>
                      </pic:pic>
                    </a:graphicData>
                  </a:graphic>
                </wp:inline>
              </w:drawing>
            </w:r>
          </w:p>
        </w:tc>
      </w:tr>
    </w:tbl>
    <w:p w14:paraId="14B4A8D2" w14:textId="77777777" w:rsidR="00F943DC" w:rsidRDefault="00F943DC" w:rsidP="007E3C23">
      <w:pPr>
        <w:jc w:val="both"/>
      </w:pPr>
    </w:p>
    <w:p w14:paraId="71BD3C4E" w14:textId="565F722B" w:rsidR="00F943DC" w:rsidRDefault="00A40608">
      <w:pPr>
        <w:pStyle w:val="Ttulo3"/>
      </w:pPr>
      <w:proofErr w:type="spellStart"/>
      <w:r>
        <w:t>Tasa</w:t>
      </w:r>
      <w:proofErr w:type="spellEnd"/>
      <w:r>
        <w:t xml:space="preserve"> de </w:t>
      </w:r>
      <w:proofErr w:type="spellStart"/>
      <w:r>
        <w:t>Desempleo</w:t>
      </w:r>
      <w:proofErr w:type="spellEnd"/>
      <w:r>
        <w:t xml:space="preserve"> </w:t>
      </w:r>
      <w:proofErr w:type="spellStart"/>
      <w:r w:rsidR="00915A14">
        <w:t>en</w:t>
      </w:r>
      <w:proofErr w:type="spellEnd"/>
      <w:r w:rsidR="00915A14">
        <w:t xml:space="preserve"> </w:t>
      </w:r>
      <w:proofErr w:type="spellStart"/>
      <w:r w:rsidR="00915A14">
        <w:t>mujeres</w:t>
      </w:r>
      <w:proofErr w:type="spellEnd"/>
    </w:p>
    <w:p w14:paraId="03BF6923" w14:textId="370D1C94" w:rsidR="00F943DC" w:rsidRPr="00A40608" w:rsidRDefault="00A40608" w:rsidP="00A40608">
      <w:pPr>
        <w:jc w:val="both"/>
        <w:rPr>
          <w:rFonts w:cs="Arial"/>
          <w:sz w:val="20"/>
          <w:szCs w:val="20"/>
        </w:rPr>
      </w:pPr>
      <w:r w:rsidRPr="00915A14">
        <w:rPr>
          <w:rFonts w:cs="Arial"/>
          <w:sz w:val="20"/>
          <w:szCs w:val="20"/>
          <w:lang w:val="es-CO"/>
        </w:rPr>
        <w:t xml:space="preserve">La brecha de género en el desempleo no constituye un fenómeno uniforme, sino que adopta expresiones territoriales diferenciadas que revelan posibles relaciones entre el género y la desigualdad </w:t>
      </w:r>
      <w:proofErr w:type="spellStart"/>
      <w:r w:rsidRPr="00915A14">
        <w:rPr>
          <w:rFonts w:cs="Arial"/>
          <w:sz w:val="20"/>
          <w:szCs w:val="20"/>
          <w:lang w:val="es-CO"/>
        </w:rPr>
        <w:t>socioespacial</w:t>
      </w:r>
      <w:proofErr w:type="spellEnd"/>
      <w:r w:rsidRPr="00915A14">
        <w:rPr>
          <w:rFonts w:cs="Arial"/>
          <w:sz w:val="20"/>
          <w:szCs w:val="20"/>
          <w:lang w:val="es-CO"/>
        </w:rPr>
        <w:t xml:space="preserve">. La diferencia de 1,5 puntos porcentuales entre la media femenina (13,3 %) y masculina (11,8 %) a nivel distrital se amplía de manera sustantiva en las localidades periféricas: en Usme la brecha alcanza 7,5 </w:t>
      </w:r>
      <w:proofErr w:type="spellStart"/>
      <w:r w:rsidRPr="00915A14">
        <w:rPr>
          <w:rFonts w:cs="Arial"/>
          <w:sz w:val="20"/>
          <w:szCs w:val="20"/>
          <w:lang w:val="es-CO"/>
        </w:rPr>
        <w:t>pp</w:t>
      </w:r>
      <w:proofErr w:type="spellEnd"/>
      <w:r w:rsidRPr="00915A14">
        <w:rPr>
          <w:rFonts w:cs="Arial"/>
          <w:sz w:val="20"/>
          <w:szCs w:val="20"/>
          <w:lang w:val="es-CO"/>
        </w:rPr>
        <w:t xml:space="preserve"> y en Bosa 3,2 </w:t>
      </w:r>
      <w:proofErr w:type="spellStart"/>
      <w:r w:rsidRPr="00915A14">
        <w:rPr>
          <w:rFonts w:cs="Arial"/>
          <w:sz w:val="20"/>
          <w:szCs w:val="20"/>
          <w:lang w:val="es-CO"/>
        </w:rPr>
        <w:t>pp</w:t>
      </w:r>
      <w:proofErr w:type="spellEnd"/>
      <w:r w:rsidRPr="00915A14">
        <w:rPr>
          <w:rFonts w:cs="Arial"/>
          <w:sz w:val="20"/>
          <w:szCs w:val="20"/>
          <w:lang w:val="es-CO"/>
        </w:rPr>
        <w:t>, mientras que en Teusaquillo, La Candelaria y Barrios Unidos los hombres superan levemente a las mujeres en desempleo. Esta heterogeneidad territorial refleja patrones de segregación residencial y laboral, evidenciando que el lugar donde viven las personas influye en sus oportunidades de trabajo. Las mujeres que viven en zonas más alejadas suelen enfrentar mayores obstáculos. Estudios documentan que la distancia física entre los lugares de residencia y las zonas de concentración laboral afecta de manera desproporcionada a las mujeres, quienes enfrentan mayores</w:t>
      </w:r>
      <w:r w:rsidRPr="00A40608">
        <w:rPr>
          <w:rFonts w:cs="Arial"/>
          <w:sz w:val="20"/>
          <w:szCs w:val="20"/>
          <w:lang w:val="es-CO"/>
        </w:rPr>
        <w:t xml:space="preserve"> restricciones de movilidad asociadas a las responsabilidades de cuidado no remunerado</w:t>
      </w:r>
      <w:r w:rsidRPr="00A40608">
        <w:rPr>
          <w:rFonts w:cs="Arial"/>
          <w:sz w:val="20"/>
          <w:szCs w:val="20"/>
        </w:rPr>
        <w:t xml:space="preserve"> </w:t>
      </w:r>
      <w:commentRangeStart w:id="7"/>
      <w:r w:rsidRPr="00A40608">
        <w:rPr>
          <w:rFonts w:cs="Arial"/>
          <w:sz w:val="20"/>
          <w:szCs w:val="20"/>
          <w:highlight w:val="yellow"/>
        </w:rPr>
        <w:t>(8).</w:t>
      </w:r>
      <w:commentRangeEnd w:id="7"/>
      <w:r w:rsidRPr="00A40608">
        <w:rPr>
          <w:rStyle w:val="Refdecomentario"/>
          <w:rFonts w:cs="Arial"/>
          <w:sz w:val="20"/>
          <w:szCs w:val="20"/>
        </w:rPr>
        <w:commentReference w:id="7"/>
      </w:r>
    </w:p>
    <w:p w14:paraId="556C2041" w14:textId="77777777" w:rsidR="00A40608" w:rsidRDefault="00A40608" w:rsidP="00A40608">
      <w:pPr>
        <w:jc w:val="both"/>
        <w:rPr>
          <w:sz w:val="20"/>
          <w:szCs w:val="20"/>
          <w:lang w:val="es-CO"/>
        </w:rPr>
      </w:pPr>
      <w:r w:rsidRPr="00A40608">
        <w:rPr>
          <w:rFonts w:cs="Arial"/>
          <w:sz w:val="20"/>
          <w:szCs w:val="20"/>
          <w:lang w:val="es-CO"/>
        </w:rPr>
        <w:t xml:space="preserve">El incremento del desempleo entre 2017 y 2021 —un 54 % en términos agregados— tuvo efectos diferenciados por género y territorio. Las mujeres que trabajan predominantemente en sectores de comercio minorista, servicios personales y economía del cuidado —actividades que no admitían continuidad remota— fueron quienes experimentaron el mayor deterioro de su situación laboral durante la pandemia por COVID-19. Bohórquez-Moreno, Quintero-Bolaños y </w:t>
      </w:r>
      <w:proofErr w:type="spellStart"/>
      <w:r w:rsidRPr="00A40608">
        <w:rPr>
          <w:rFonts w:cs="Arial"/>
          <w:sz w:val="20"/>
          <w:szCs w:val="20"/>
          <w:lang w:val="es-CO"/>
        </w:rPr>
        <w:t>Piñeres</w:t>
      </w:r>
      <w:proofErr w:type="spellEnd"/>
      <w:r w:rsidRPr="00A40608">
        <w:rPr>
          <w:rFonts w:cs="Arial"/>
          <w:sz w:val="20"/>
          <w:szCs w:val="20"/>
          <w:lang w:val="es-CO"/>
        </w:rPr>
        <w:t xml:space="preserve">-Espitia documentan que durante el trimestre abril-junio de 2020 la tasa de desempleo femenina en </w:t>
      </w:r>
      <w:r w:rsidRPr="00A40608">
        <w:rPr>
          <w:rFonts w:cs="Arial"/>
          <w:sz w:val="20"/>
          <w:szCs w:val="20"/>
          <w:lang w:val="es-CO"/>
        </w:rPr>
        <w:lastRenderedPageBreak/>
        <w:t>Colombia</w:t>
      </w:r>
      <w:r w:rsidRPr="00A40608">
        <w:rPr>
          <w:sz w:val="20"/>
          <w:szCs w:val="20"/>
          <w:lang w:val="es-CO"/>
        </w:rPr>
        <w:t xml:space="preserve"> alcanzó 24,62 %, frente a valores menores en los hombres, confirmando que la crisis sanitaria pudo haber profundizado brechas preexistentes de género en el mercado laboral </w:t>
      </w:r>
      <w:commentRangeStart w:id="8"/>
      <w:r w:rsidRPr="00A40608">
        <w:rPr>
          <w:sz w:val="20"/>
          <w:szCs w:val="20"/>
          <w:highlight w:val="yellow"/>
          <w:lang w:val="es-CO"/>
        </w:rPr>
        <w:t>(9).</w:t>
      </w:r>
      <w:r w:rsidRPr="00A40608">
        <w:rPr>
          <w:sz w:val="20"/>
          <w:szCs w:val="20"/>
          <w:lang w:val="es-CO"/>
        </w:rPr>
        <w:t xml:space="preserve"> </w:t>
      </w:r>
      <w:commentRangeEnd w:id="8"/>
      <w:r>
        <w:rPr>
          <w:rStyle w:val="Refdecomentario"/>
          <w:rFonts w:asciiTheme="minorHAnsi" w:hAnsiTheme="minorHAnsi"/>
        </w:rPr>
        <w:commentReference w:id="8"/>
      </w:r>
      <w:r w:rsidRPr="00A40608">
        <w:rPr>
          <w:sz w:val="20"/>
          <w:szCs w:val="20"/>
          <w:lang w:val="es-CO"/>
        </w:rPr>
        <w:t xml:space="preserve">Este impacto se concentró especialmente en las localidades donde la economía local depende de empleos informales y presenciales, que son precisamente aquellas con mayor desempleo femenino en 2021: Usme, Bosa, Kennedy, Rafael Uribe </w:t>
      </w:r>
      <w:proofErr w:type="spellStart"/>
      <w:r w:rsidRPr="00A40608">
        <w:rPr>
          <w:sz w:val="20"/>
          <w:szCs w:val="20"/>
          <w:lang w:val="es-CO"/>
        </w:rPr>
        <w:t>Uribe</w:t>
      </w:r>
      <w:proofErr w:type="spellEnd"/>
      <w:r w:rsidRPr="00A40608">
        <w:rPr>
          <w:sz w:val="20"/>
          <w:szCs w:val="20"/>
          <w:lang w:val="es-CO"/>
        </w:rPr>
        <w:t xml:space="preserve"> y Ciudad Bolívar.</w:t>
      </w:r>
    </w:p>
    <w:p w14:paraId="748D3ABF" w14:textId="301E51AE" w:rsidR="00A40608" w:rsidRDefault="00A40608" w:rsidP="00A40608">
      <w:pPr>
        <w:jc w:val="both"/>
        <w:rPr>
          <w:sz w:val="20"/>
          <w:szCs w:val="20"/>
          <w:lang w:val="es-CO"/>
        </w:rPr>
      </w:pPr>
      <w:r w:rsidRPr="00A40608">
        <w:rPr>
          <w:sz w:val="20"/>
          <w:szCs w:val="20"/>
          <w:lang w:val="es-CO"/>
        </w:rPr>
        <w:t>Puede existir un circulo entre desempleo, pobreza y maternidad temprana que se reproduce con mayor intensidad en las localidades del sur y suroccidente de Bogotá —Usme, Bosa, Ciudad Bolívar— donde confluyen las tasas más altas de desempleo femenino y altas tasas históricas de fecundidad adolescente.</w:t>
      </w:r>
    </w:p>
    <w:tbl>
      <w:tblPr>
        <w:tblStyle w:val="Tablaconcuadrcula"/>
        <w:tblW w:w="95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5187"/>
      </w:tblGrid>
      <w:tr w:rsidR="00915A14" w14:paraId="27733C4A" w14:textId="77777777" w:rsidTr="00A7275F">
        <w:trPr>
          <w:trHeight w:val="7010"/>
          <w:jc w:val="center"/>
        </w:trPr>
        <w:tc>
          <w:tcPr>
            <w:tcW w:w="4395" w:type="dxa"/>
          </w:tcPr>
          <w:p w14:paraId="66A561CD" w14:textId="77777777" w:rsidR="00915A14" w:rsidRDefault="00915A14" w:rsidP="00A7275F">
            <w:pPr>
              <w:spacing w:after="280"/>
              <w:jc w:val="both"/>
            </w:pPr>
            <w:r>
              <w:rPr>
                <w:noProof/>
                <w:lang w:val="es-MX" w:eastAsia="es-MX"/>
              </w:rPr>
              <w:drawing>
                <wp:inline distT="0" distB="0" distL="0" distR="0" wp14:anchorId="0ADCB442" wp14:editId="4FFC057E">
                  <wp:extent cx="2653665" cy="4370705"/>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ASA_DESEMPLEO_2021_BogotaDC.png"/>
                          <pic:cNvPicPr/>
                        </pic:nvPicPr>
                        <pic:blipFill>
                          <a:blip r:embed="rId12">
                            <a:extLst>
                              <a:ext uri="{28A0092B-C50C-407E-A947-70E740481C1C}">
                                <a14:useLocalDpi xmlns:a14="http://schemas.microsoft.com/office/drawing/2010/main" val="0"/>
                              </a:ext>
                            </a:extLst>
                          </a:blip>
                          <a:stretch>
                            <a:fillRect/>
                          </a:stretch>
                        </pic:blipFill>
                        <pic:spPr>
                          <a:xfrm>
                            <a:off x="0" y="0"/>
                            <a:ext cx="2653665" cy="4370705"/>
                          </a:xfrm>
                          <a:prstGeom prst="rect">
                            <a:avLst/>
                          </a:prstGeom>
                        </pic:spPr>
                      </pic:pic>
                    </a:graphicData>
                  </a:graphic>
                </wp:inline>
              </w:drawing>
            </w:r>
          </w:p>
        </w:tc>
        <w:tc>
          <w:tcPr>
            <w:tcW w:w="5187" w:type="dxa"/>
          </w:tcPr>
          <w:p w14:paraId="71A5E590" w14:textId="77777777" w:rsidR="00915A14" w:rsidRDefault="00915A14" w:rsidP="00A7275F">
            <w:pPr>
              <w:spacing w:after="280"/>
              <w:jc w:val="both"/>
              <w:rPr>
                <w:noProof/>
                <w:lang w:val="es-MX" w:eastAsia="es-MX"/>
              </w:rPr>
            </w:pPr>
          </w:p>
          <w:p w14:paraId="0464BB54" w14:textId="77777777" w:rsidR="00915A14" w:rsidRDefault="00915A14" w:rsidP="00A7275F">
            <w:pPr>
              <w:spacing w:after="280"/>
              <w:jc w:val="both"/>
            </w:pPr>
            <w:r>
              <w:rPr>
                <w:noProof/>
                <w:lang w:val="es-MX" w:eastAsia="es-MX"/>
              </w:rPr>
              <w:drawing>
                <wp:inline distT="0" distB="0" distL="0" distR="0" wp14:anchorId="126B917C" wp14:editId="43B90C4D">
                  <wp:extent cx="3156585" cy="2828290"/>
                  <wp:effectExtent l="0" t="0" r="571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Desempleo_Brecha_Genero_2021.png"/>
                          <pic:cNvPicPr/>
                        </pic:nvPicPr>
                        <pic:blipFill>
                          <a:blip r:embed="rId13">
                            <a:extLst>
                              <a:ext uri="{28A0092B-C50C-407E-A947-70E740481C1C}">
                                <a14:useLocalDpi xmlns:a14="http://schemas.microsoft.com/office/drawing/2010/main" val="0"/>
                              </a:ext>
                            </a:extLst>
                          </a:blip>
                          <a:stretch>
                            <a:fillRect/>
                          </a:stretch>
                        </pic:blipFill>
                        <pic:spPr>
                          <a:xfrm>
                            <a:off x="0" y="0"/>
                            <a:ext cx="3156585" cy="2828290"/>
                          </a:xfrm>
                          <a:prstGeom prst="rect">
                            <a:avLst/>
                          </a:prstGeom>
                        </pic:spPr>
                      </pic:pic>
                    </a:graphicData>
                  </a:graphic>
                </wp:inline>
              </w:drawing>
            </w:r>
          </w:p>
        </w:tc>
      </w:tr>
    </w:tbl>
    <w:p w14:paraId="0C139770" w14:textId="77777777" w:rsidR="00915A14" w:rsidRPr="00A40608" w:rsidRDefault="00915A14" w:rsidP="00A40608">
      <w:pPr>
        <w:jc w:val="both"/>
        <w:rPr>
          <w:sz w:val="20"/>
          <w:szCs w:val="20"/>
          <w:lang w:val="es-CO"/>
        </w:rPr>
      </w:pPr>
    </w:p>
    <w:p w14:paraId="49BF55C7" w14:textId="642047EB" w:rsidR="00F943DC" w:rsidRPr="00477F8B" w:rsidRDefault="00A40608">
      <w:pPr>
        <w:pStyle w:val="Ttulo3"/>
        <w:rPr>
          <w:lang w:val="es-PR"/>
        </w:rPr>
      </w:pPr>
      <w:r w:rsidRPr="00477F8B">
        <w:rPr>
          <w:lang w:val="es-PR"/>
        </w:rPr>
        <w:t xml:space="preserve">Tasa de Informalidad Laboral </w:t>
      </w:r>
      <w:r w:rsidR="00477F8B" w:rsidRPr="00477F8B">
        <w:rPr>
          <w:lang w:val="es-PR"/>
        </w:rPr>
        <w:t>en mujeres</w:t>
      </w:r>
    </w:p>
    <w:p w14:paraId="656DE7FE" w14:textId="4ABD0F14" w:rsidR="00F943DC" w:rsidRPr="00477F8B" w:rsidRDefault="00A40608" w:rsidP="00915A14">
      <w:pPr>
        <w:jc w:val="both"/>
        <w:rPr>
          <w:lang w:val="es-CO"/>
        </w:rPr>
      </w:pPr>
      <w:r w:rsidRPr="00477F8B">
        <w:rPr>
          <w:lang w:val="es-CO"/>
        </w:rPr>
        <w:t>La distribución territorial de la informalidad, con tasas que oscilan entre 22,4 % en Teusaquillo y 57,6 % en Usme para las mujeres, refleja la interacción entre determinantes estructurales de ciudad y condiciones locales de los mercados de trabajo. La i</w:t>
      </w:r>
      <w:r w:rsidR="00AD1673">
        <w:rPr>
          <w:lang w:val="es-CO"/>
        </w:rPr>
        <w:t>nformalidad no se circunscribe solo a</w:t>
      </w:r>
      <w:r w:rsidRPr="00477F8B">
        <w:rPr>
          <w:lang w:val="es-CO"/>
        </w:rPr>
        <w:t xml:space="preserve"> las periferias. Sin embargo, la brecha entre localidades del norte y el sur de la ciudad sí revela una dimensión territorial adicional: en las localidades con mayor informalidad femenina —Usme, Ciudad Bolívar, Tunjuelito— confluyen menor escolaridad promedio, mayor dependencia del trabajo por cuenta propia de subsistencia </w:t>
      </w:r>
      <w:r w:rsidRPr="00477F8B">
        <w:rPr>
          <w:lang w:val="es-CO"/>
        </w:rPr>
        <w:lastRenderedPageBreak/>
        <w:t xml:space="preserve">y menor acceso a instrumentos de formalización. Estudios sobre los determinantes de la informalidad en Colombia señalan que la baja cualificación de la fuerza laboral y la ausencia de redes de intermediación formal son factores predictores </w:t>
      </w:r>
      <w:r w:rsidRPr="006012C2">
        <w:rPr>
          <w:lang w:val="es-CO"/>
        </w:rPr>
        <w:t>robustos de la informalidad a nivel territorial</w:t>
      </w:r>
      <w:r w:rsidR="00AD1673" w:rsidRPr="006012C2">
        <w:rPr>
          <w:lang w:val="es-CO"/>
        </w:rPr>
        <w:t xml:space="preserve"> </w:t>
      </w:r>
      <w:commentRangeStart w:id="9"/>
      <w:r w:rsidRPr="006012C2">
        <w:rPr>
          <w:highlight w:val="yellow"/>
          <w:lang w:val="es-CO"/>
        </w:rPr>
        <w:t>(</w:t>
      </w:r>
      <w:r w:rsidR="006012C2" w:rsidRPr="006012C2">
        <w:rPr>
          <w:highlight w:val="yellow"/>
          <w:lang w:val="es-CO"/>
        </w:rPr>
        <w:t>10</w:t>
      </w:r>
      <w:r w:rsidRPr="006012C2">
        <w:rPr>
          <w:highlight w:val="yellow"/>
          <w:lang w:val="es-CO"/>
        </w:rPr>
        <w:t>)</w:t>
      </w:r>
      <w:r w:rsidRPr="006012C2">
        <w:rPr>
          <w:lang w:val="es-CO"/>
        </w:rPr>
        <w:t>.</w:t>
      </w:r>
      <w:commentRangeEnd w:id="9"/>
      <w:r w:rsidR="00272116" w:rsidRPr="006012C2">
        <w:rPr>
          <w:rStyle w:val="Refdecomentario"/>
          <w:rFonts w:asciiTheme="minorHAnsi" w:hAnsiTheme="minorHAnsi"/>
        </w:rPr>
        <w:commentReference w:id="9"/>
      </w:r>
    </w:p>
    <w:p w14:paraId="4469E9B8" w14:textId="41C1D26B" w:rsidR="00F943DC" w:rsidRDefault="00A40608" w:rsidP="00915A14">
      <w:pPr>
        <w:jc w:val="both"/>
        <w:rPr>
          <w:lang w:val="es-CO"/>
        </w:rPr>
      </w:pPr>
      <w:r w:rsidRPr="00477F8B">
        <w:rPr>
          <w:lang w:val="es-CO"/>
        </w:rPr>
        <w:t xml:space="preserve">La informalidad </w:t>
      </w:r>
      <w:r w:rsidR="00AD1673">
        <w:rPr>
          <w:lang w:val="es-CO"/>
        </w:rPr>
        <w:t>en mujeres</w:t>
      </w:r>
      <w:r w:rsidRPr="00477F8B">
        <w:rPr>
          <w:lang w:val="es-CO"/>
        </w:rPr>
        <w:t xml:space="preserve"> y la fecundidad adolescente se articulan en un ciclo de reproducción de vulnerabilidad que se expresa con mayor intensidad en los territorios del sur de Bogotá. Las adolescentes que se convierten en madres a temprana edad en contextos de alta informalidad enfrentan una doble restricción: por un lado, el embarazo</w:t>
      </w:r>
      <w:r w:rsidR="00AD1673">
        <w:rPr>
          <w:lang w:val="es-CO"/>
        </w:rPr>
        <w:t xml:space="preserve"> puede interrumpir</w:t>
      </w:r>
      <w:r w:rsidRPr="00477F8B">
        <w:rPr>
          <w:lang w:val="es-CO"/>
        </w:rPr>
        <w:t xml:space="preserve"> o limita</w:t>
      </w:r>
      <w:r w:rsidR="00AD1673">
        <w:rPr>
          <w:lang w:val="es-CO"/>
        </w:rPr>
        <w:t>r</w:t>
      </w:r>
      <w:r w:rsidRPr="00477F8B">
        <w:rPr>
          <w:lang w:val="es-CO"/>
        </w:rPr>
        <w:t xml:space="preserve"> su trayectoria educativa, reduciendo su acceso posterior a empleos formales; por otro, el entorno familiar caracterizado por ocupaciones informales de subsistencia no ofrece redes de apoyo económico suficientes para sostener la maternidad sin afectar la continuidad educativa. Sousa documenta que las mujeres que fueron madres adolescentes en contextos de sectores populares urbanos latinoamericanos acceden predominantemente a empleos informales y de baja remuneración</w:t>
      </w:r>
      <w:r w:rsidR="00AD1673">
        <w:rPr>
          <w:lang w:val="es-CO"/>
        </w:rPr>
        <w:t xml:space="preserve"> a lo largo de su vida laboral </w:t>
      </w:r>
      <w:r w:rsidR="006012C2">
        <w:rPr>
          <w:highlight w:val="yellow"/>
          <w:lang w:val="es-CO"/>
        </w:rPr>
        <w:t>(</w:t>
      </w:r>
      <w:commentRangeStart w:id="10"/>
      <w:r w:rsidR="006012C2">
        <w:rPr>
          <w:highlight w:val="yellow"/>
          <w:lang w:val="es-CO"/>
        </w:rPr>
        <w:t>11</w:t>
      </w:r>
      <w:commentRangeEnd w:id="10"/>
      <w:r w:rsidR="006012C2">
        <w:rPr>
          <w:rStyle w:val="Refdecomentario"/>
          <w:rFonts w:asciiTheme="minorHAnsi" w:hAnsiTheme="minorHAnsi"/>
        </w:rPr>
        <w:commentReference w:id="10"/>
      </w:r>
      <w:r w:rsidRPr="006012C2">
        <w:rPr>
          <w:highlight w:val="yellow"/>
          <w:lang w:val="es-CO"/>
        </w:rPr>
        <w:t>).</w:t>
      </w:r>
      <w:r w:rsidRPr="00477F8B">
        <w:rPr>
          <w:lang w:val="es-CO"/>
        </w:rPr>
        <w:t xml:space="preserve"> En este sentido, la informalidad laboral </w:t>
      </w:r>
      <w:r w:rsidR="00AD1673">
        <w:rPr>
          <w:lang w:val="es-CO"/>
        </w:rPr>
        <w:t>en mujeres</w:t>
      </w:r>
      <w:r w:rsidRPr="00477F8B">
        <w:rPr>
          <w:lang w:val="es-CO"/>
        </w:rPr>
        <w:t xml:space="preserve"> no debe leerse únicamente como un resultado del mercado de trabajo, sino también como un condicionante del entorno en</w:t>
      </w:r>
      <w:r w:rsidR="00AD1673">
        <w:rPr>
          <w:lang w:val="es-CO"/>
        </w:rPr>
        <w:t xml:space="preserve"> el que crecen las adolescentes.</w:t>
      </w:r>
    </w:p>
    <w:tbl>
      <w:tblPr>
        <w:tblStyle w:val="Tablaconcuadrcula"/>
        <w:tblW w:w="95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5187"/>
      </w:tblGrid>
      <w:tr w:rsidR="00C369D1" w14:paraId="68FEF9E8" w14:textId="77777777" w:rsidTr="00A7275F">
        <w:trPr>
          <w:trHeight w:val="7010"/>
          <w:jc w:val="center"/>
        </w:trPr>
        <w:tc>
          <w:tcPr>
            <w:tcW w:w="4395" w:type="dxa"/>
          </w:tcPr>
          <w:p w14:paraId="310FE0C3" w14:textId="348495F6" w:rsidR="00C369D1" w:rsidRDefault="00C369D1" w:rsidP="00A7275F">
            <w:pPr>
              <w:spacing w:after="280"/>
              <w:jc w:val="both"/>
            </w:pPr>
            <w:r>
              <w:rPr>
                <w:noProof/>
                <w:lang w:val="es-MX" w:eastAsia="es-MX"/>
              </w:rPr>
              <w:drawing>
                <wp:inline distT="0" distB="0" distL="0" distR="0" wp14:anchorId="5D79DFFF" wp14:editId="4142A358">
                  <wp:extent cx="2653665" cy="4370705"/>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TASA_INFORMALIDAD_MUJERES_2021_BogotaDC.png"/>
                          <pic:cNvPicPr/>
                        </pic:nvPicPr>
                        <pic:blipFill>
                          <a:blip r:embed="rId14">
                            <a:extLst>
                              <a:ext uri="{28A0092B-C50C-407E-A947-70E740481C1C}">
                                <a14:useLocalDpi xmlns:a14="http://schemas.microsoft.com/office/drawing/2010/main" val="0"/>
                              </a:ext>
                            </a:extLst>
                          </a:blip>
                          <a:stretch>
                            <a:fillRect/>
                          </a:stretch>
                        </pic:blipFill>
                        <pic:spPr>
                          <a:xfrm>
                            <a:off x="0" y="0"/>
                            <a:ext cx="2653665" cy="4370705"/>
                          </a:xfrm>
                          <a:prstGeom prst="rect">
                            <a:avLst/>
                          </a:prstGeom>
                        </pic:spPr>
                      </pic:pic>
                    </a:graphicData>
                  </a:graphic>
                </wp:inline>
              </w:drawing>
            </w:r>
          </w:p>
        </w:tc>
        <w:tc>
          <w:tcPr>
            <w:tcW w:w="5187" w:type="dxa"/>
          </w:tcPr>
          <w:p w14:paraId="492E6C0C" w14:textId="77777777" w:rsidR="00C369D1" w:rsidRDefault="00C369D1" w:rsidP="00A7275F">
            <w:pPr>
              <w:spacing w:after="280"/>
              <w:jc w:val="both"/>
              <w:rPr>
                <w:noProof/>
                <w:lang w:val="es-MX" w:eastAsia="es-MX"/>
              </w:rPr>
            </w:pPr>
          </w:p>
          <w:p w14:paraId="14F3D354" w14:textId="348584C2" w:rsidR="00C369D1" w:rsidRDefault="00C369D1" w:rsidP="00A7275F">
            <w:pPr>
              <w:spacing w:after="280"/>
              <w:jc w:val="both"/>
            </w:pPr>
            <w:r>
              <w:rPr>
                <w:noProof/>
                <w:lang w:val="es-MX" w:eastAsia="es-MX"/>
              </w:rPr>
              <w:drawing>
                <wp:inline distT="0" distB="0" distL="0" distR="0" wp14:anchorId="0142D0BC" wp14:editId="1E9ADC82">
                  <wp:extent cx="3156585" cy="2485390"/>
                  <wp:effectExtent l="0" t="0" r="571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nformalidad_Brecha_Genero_2021.png"/>
                          <pic:cNvPicPr/>
                        </pic:nvPicPr>
                        <pic:blipFill>
                          <a:blip r:embed="rId15">
                            <a:extLst>
                              <a:ext uri="{28A0092B-C50C-407E-A947-70E740481C1C}">
                                <a14:useLocalDpi xmlns:a14="http://schemas.microsoft.com/office/drawing/2010/main" val="0"/>
                              </a:ext>
                            </a:extLst>
                          </a:blip>
                          <a:stretch>
                            <a:fillRect/>
                          </a:stretch>
                        </pic:blipFill>
                        <pic:spPr>
                          <a:xfrm>
                            <a:off x="0" y="0"/>
                            <a:ext cx="3156585" cy="2485390"/>
                          </a:xfrm>
                          <a:prstGeom prst="rect">
                            <a:avLst/>
                          </a:prstGeom>
                        </pic:spPr>
                      </pic:pic>
                    </a:graphicData>
                  </a:graphic>
                </wp:inline>
              </w:drawing>
            </w:r>
          </w:p>
        </w:tc>
      </w:tr>
    </w:tbl>
    <w:p w14:paraId="02812FB5" w14:textId="77777777" w:rsidR="00C369D1" w:rsidRPr="00477F8B" w:rsidRDefault="00C369D1" w:rsidP="00915A14">
      <w:pPr>
        <w:jc w:val="both"/>
        <w:rPr>
          <w:lang w:val="es-CO"/>
        </w:rPr>
      </w:pPr>
    </w:p>
    <w:p w14:paraId="2E3807A5" w14:textId="77777777" w:rsidR="00F943DC" w:rsidRDefault="00A40608">
      <w:pPr>
        <w:pStyle w:val="Ttulo2"/>
      </w:pPr>
      <w:r>
        <w:lastRenderedPageBreak/>
        <w:t>11.2.2 Educación</w:t>
      </w:r>
    </w:p>
    <w:p w14:paraId="368A0994" w14:textId="77777777" w:rsidR="00F943DC" w:rsidRPr="001F7697" w:rsidRDefault="00A40608">
      <w:pPr>
        <w:pStyle w:val="Ttulo3"/>
        <w:rPr>
          <w:lang w:val="es-CO"/>
        </w:rPr>
      </w:pPr>
      <w:r w:rsidRPr="001F7697">
        <w:rPr>
          <w:lang w:val="es-CO"/>
        </w:rPr>
        <w:t>Tasa de Cobertura Bruta (TCB)</w:t>
      </w:r>
    </w:p>
    <w:p w14:paraId="68676C1F" w14:textId="7EA3C561" w:rsidR="00F943DC" w:rsidRPr="001F7697" w:rsidRDefault="00A40608" w:rsidP="00C369D1">
      <w:pPr>
        <w:jc w:val="both"/>
        <w:rPr>
          <w:sz w:val="24"/>
          <w:lang w:val="es-CO"/>
        </w:rPr>
      </w:pPr>
      <w:r w:rsidRPr="001F7697">
        <w:rPr>
          <w:sz w:val="24"/>
          <w:lang w:val="es-CO"/>
        </w:rPr>
        <w:t xml:space="preserve">La relación entre la TCB y la fecundidad adolescente se vuelve significativa precisamente en este plano de la permanencia escolar. Investigaciones realizadas en Colombia documentan que el embarazo adolescente constituye una de las principales causas de abandono escolar entre las mujeres jóvenes, generando una interrupción de la trayectoria educativa que reduce de manera estructural sus oportunidades de movilidad social y </w:t>
      </w:r>
      <w:r w:rsidRPr="00182284">
        <w:rPr>
          <w:sz w:val="24"/>
          <w:lang w:val="es-CO"/>
        </w:rPr>
        <w:t>laboral</w:t>
      </w:r>
      <w:r w:rsidR="00182284">
        <w:rPr>
          <w:sz w:val="24"/>
          <w:lang w:val="es-CO"/>
        </w:rPr>
        <w:t xml:space="preserve"> </w:t>
      </w:r>
      <w:commentRangeStart w:id="11"/>
      <w:r w:rsidRPr="00182284">
        <w:rPr>
          <w:sz w:val="24"/>
          <w:highlight w:val="yellow"/>
          <w:lang w:val="es-CO"/>
        </w:rPr>
        <w:t>(</w:t>
      </w:r>
      <w:r w:rsidR="00182284" w:rsidRPr="00182284">
        <w:rPr>
          <w:sz w:val="24"/>
          <w:highlight w:val="yellow"/>
          <w:lang w:val="es-CO"/>
        </w:rPr>
        <w:t>13</w:t>
      </w:r>
      <w:r w:rsidRPr="00182284">
        <w:rPr>
          <w:sz w:val="24"/>
          <w:highlight w:val="yellow"/>
          <w:lang w:val="es-CO"/>
        </w:rPr>
        <w:t xml:space="preserve">). </w:t>
      </w:r>
      <w:commentRangeEnd w:id="11"/>
      <w:r w:rsidR="00272116" w:rsidRPr="00182284">
        <w:rPr>
          <w:rStyle w:val="Refdecomentario"/>
          <w:rFonts w:asciiTheme="minorHAnsi" w:hAnsiTheme="minorHAnsi"/>
          <w:highlight w:val="yellow"/>
        </w:rPr>
        <w:commentReference w:id="11"/>
      </w:r>
      <w:r w:rsidRPr="001F7697">
        <w:rPr>
          <w:sz w:val="24"/>
          <w:lang w:val="es-CO"/>
        </w:rPr>
        <w:t>En este marco, la universalidad de la cobertura observada en el distrito no debe interpretarse como un logro suficiente: localidades con TCB elevada pero alta fecundidad adolescente —como San Cristóbal o Ciudad Bolívar— señalan que el sistema educativo incorpora a las adolescentes pero no logra retenerlas una vez ocurre el embarazo, lo que refuerza la necesidad de políticas de retención escolar con perspectiva de género y salud sexual y reproductiva integradas al entorno educativo.</w:t>
      </w:r>
    </w:p>
    <w:tbl>
      <w:tblPr>
        <w:tblStyle w:val="Tablaconcuadrcula"/>
        <w:tblW w:w="95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5187"/>
      </w:tblGrid>
      <w:tr w:rsidR="001F7697" w14:paraId="189F2979" w14:textId="77777777" w:rsidTr="00A7275F">
        <w:trPr>
          <w:trHeight w:val="7010"/>
          <w:jc w:val="center"/>
        </w:trPr>
        <w:tc>
          <w:tcPr>
            <w:tcW w:w="4395" w:type="dxa"/>
          </w:tcPr>
          <w:p w14:paraId="01B40AAA" w14:textId="1A13E34D" w:rsidR="001F7697" w:rsidRDefault="001F7697" w:rsidP="00A7275F">
            <w:pPr>
              <w:spacing w:after="280"/>
              <w:jc w:val="both"/>
            </w:pPr>
            <w:r>
              <w:rPr>
                <w:noProof/>
                <w:lang w:val="es-MX" w:eastAsia="es-MX"/>
              </w:rPr>
              <w:drawing>
                <wp:inline distT="0" distB="0" distL="0" distR="0" wp14:anchorId="0803D186" wp14:editId="449B50C1">
                  <wp:extent cx="2653665" cy="4370705"/>
                  <wp:effectExtent l="0" t="0" r="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TASA_COBERTURA_BRUTA_BogotaDC.png"/>
                          <pic:cNvPicPr/>
                        </pic:nvPicPr>
                        <pic:blipFill>
                          <a:blip r:embed="rId16">
                            <a:extLst>
                              <a:ext uri="{28A0092B-C50C-407E-A947-70E740481C1C}">
                                <a14:useLocalDpi xmlns:a14="http://schemas.microsoft.com/office/drawing/2010/main" val="0"/>
                              </a:ext>
                            </a:extLst>
                          </a:blip>
                          <a:stretch>
                            <a:fillRect/>
                          </a:stretch>
                        </pic:blipFill>
                        <pic:spPr>
                          <a:xfrm>
                            <a:off x="0" y="0"/>
                            <a:ext cx="2653665" cy="4370705"/>
                          </a:xfrm>
                          <a:prstGeom prst="rect">
                            <a:avLst/>
                          </a:prstGeom>
                        </pic:spPr>
                      </pic:pic>
                    </a:graphicData>
                  </a:graphic>
                </wp:inline>
              </w:drawing>
            </w:r>
          </w:p>
        </w:tc>
        <w:tc>
          <w:tcPr>
            <w:tcW w:w="5187" w:type="dxa"/>
          </w:tcPr>
          <w:p w14:paraId="7309D0F4" w14:textId="77777777" w:rsidR="001F7697" w:rsidRDefault="001F7697" w:rsidP="00A7275F">
            <w:pPr>
              <w:spacing w:after="280"/>
              <w:jc w:val="both"/>
              <w:rPr>
                <w:noProof/>
                <w:lang w:val="es-MX" w:eastAsia="es-MX"/>
              </w:rPr>
            </w:pPr>
          </w:p>
          <w:p w14:paraId="5AA21F7F" w14:textId="12A2064E" w:rsidR="001F7697" w:rsidRDefault="001F7697" w:rsidP="00A7275F">
            <w:pPr>
              <w:spacing w:after="280"/>
              <w:jc w:val="both"/>
            </w:pPr>
            <w:r>
              <w:rPr>
                <w:noProof/>
                <w:lang w:val="es-MX" w:eastAsia="es-MX"/>
              </w:rPr>
              <w:drawing>
                <wp:inline distT="0" distB="0" distL="0" distR="0" wp14:anchorId="6CD88EBD" wp14:editId="033B4B9C">
                  <wp:extent cx="3156585" cy="3156585"/>
                  <wp:effectExtent l="0" t="0" r="5715" b="571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DUCACION_TCB_Localidades.png"/>
                          <pic:cNvPicPr/>
                        </pic:nvPicPr>
                        <pic:blipFill>
                          <a:blip r:embed="rId17">
                            <a:extLst>
                              <a:ext uri="{28A0092B-C50C-407E-A947-70E740481C1C}">
                                <a14:useLocalDpi xmlns:a14="http://schemas.microsoft.com/office/drawing/2010/main" val="0"/>
                              </a:ext>
                            </a:extLst>
                          </a:blip>
                          <a:stretch>
                            <a:fillRect/>
                          </a:stretch>
                        </pic:blipFill>
                        <pic:spPr>
                          <a:xfrm>
                            <a:off x="0" y="0"/>
                            <a:ext cx="3156585" cy="3156585"/>
                          </a:xfrm>
                          <a:prstGeom prst="rect">
                            <a:avLst/>
                          </a:prstGeom>
                        </pic:spPr>
                      </pic:pic>
                    </a:graphicData>
                  </a:graphic>
                </wp:inline>
              </w:drawing>
            </w:r>
          </w:p>
        </w:tc>
      </w:tr>
    </w:tbl>
    <w:p w14:paraId="5FA2E744" w14:textId="77777777" w:rsidR="001F7697" w:rsidRPr="00C369D1" w:rsidRDefault="001F7697" w:rsidP="00C369D1">
      <w:pPr>
        <w:jc w:val="both"/>
        <w:rPr>
          <w:sz w:val="24"/>
        </w:rPr>
      </w:pPr>
    </w:p>
    <w:p w14:paraId="62ABD28D" w14:textId="77777777" w:rsidR="00F943DC" w:rsidRDefault="00A40608">
      <w:pPr>
        <w:pStyle w:val="Ttulo3"/>
      </w:pPr>
      <w:r>
        <w:lastRenderedPageBreak/>
        <w:t>Tasa de Deserción Escolar Media</w:t>
      </w:r>
    </w:p>
    <w:p w14:paraId="74B95DA3" w14:textId="4EE06527" w:rsidR="00F943DC" w:rsidRPr="00AE66F3" w:rsidRDefault="00A40608" w:rsidP="001F7697">
      <w:pPr>
        <w:jc w:val="both"/>
        <w:rPr>
          <w:sz w:val="20"/>
          <w:lang w:val="es-CO"/>
        </w:rPr>
      </w:pPr>
      <w:r w:rsidRPr="00AE66F3">
        <w:rPr>
          <w:sz w:val="20"/>
          <w:highlight w:val="yellow"/>
          <w:lang w:val="es-CO"/>
        </w:rPr>
        <w:t xml:space="preserve">El </w:t>
      </w:r>
      <w:proofErr w:type="spellStart"/>
      <w:r w:rsidRPr="00AE66F3">
        <w:rPr>
          <w:sz w:val="20"/>
          <w:highlight w:val="yellow"/>
          <w:lang w:val="es-CO"/>
        </w:rPr>
        <w:t>heatmap</w:t>
      </w:r>
      <w:proofErr w:type="spellEnd"/>
      <w:r w:rsidRPr="00AE66F3">
        <w:rPr>
          <w:sz w:val="20"/>
          <w:lang w:val="es-CO"/>
        </w:rPr>
        <w:t xml:space="preserve"> revela un patrón temporal </w:t>
      </w:r>
      <w:r w:rsidR="00AE66F3" w:rsidRPr="00AE66F3">
        <w:rPr>
          <w:sz w:val="20"/>
          <w:lang w:val="es-CO"/>
        </w:rPr>
        <w:t xml:space="preserve">importante, en relación con </w:t>
      </w:r>
      <w:r w:rsidRPr="00AE66F3">
        <w:rPr>
          <w:sz w:val="20"/>
          <w:lang w:val="es-CO"/>
        </w:rPr>
        <w:t xml:space="preserve">la reducción generalizada de las tasas de deserción en 2020 —visible en prácticamente todas las localidades— no refleja una mejora real en la retención escolar, sino </w:t>
      </w:r>
      <w:r w:rsidR="00AE66F3" w:rsidRPr="00AE66F3">
        <w:rPr>
          <w:sz w:val="20"/>
          <w:lang w:val="es-CO"/>
        </w:rPr>
        <w:t xml:space="preserve">que puede ser explicado por </w:t>
      </w:r>
      <w:r w:rsidRPr="00AE66F3">
        <w:rPr>
          <w:sz w:val="20"/>
          <w:lang w:val="es-CO"/>
        </w:rPr>
        <w:t xml:space="preserve">el efecto </w:t>
      </w:r>
      <w:r w:rsidR="00AE66F3" w:rsidRPr="00AE66F3">
        <w:rPr>
          <w:sz w:val="20"/>
          <w:lang w:val="es-CO"/>
        </w:rPr>
        <w:t>debido al</w:t>
      </w:r>
      <w:r w:rsidRPr="00AE66F3">
        <w:rPr>
          <w:sz w:val="20"/>
          <w:lang w:val="es-CO"/>
        </w:rPr>
        <w:t xml:space="preserve"> cierre de establecimientos educativos durante la pandemia por COVID-19, que suspendió los mecanismos habituales de registro de la deserción. Esta reducción aparente fue seguida por un repunte significativo en 2021 y 2022, cuando se reactivaron los sistemas de matrícula y se hizo visible la magnitud real del abandono escolar acumulado. Estudios sobre el impacto de la pandemia en la educación colombiana documentan que las medidas de aislamiento generaron una desvinculación progresiva entre estudiantes e instituciones, cuyas consecuencias en términos de deserción se expresaron con mayor intensidad en el período </w:t>
      </w:r>
      <w:proofErr w:type="spellStart"/>
      <w:r w:rsidRPr="00AE66F3">
        <w:rPr>
          <w:sz w:val="20"/>
          <w:lang w:val="es-CO"/>
        </w:rPr>
        <w:t>posconfinamiento</w:t>
      </w:r>
      <w:proofErr w:type="spellEnd"/>
      <w:r w:rsidR="00182284">
        <w:rPr>
          <w:sz w:val="20"/>
          <w:lang w:val="es-CO"/>
        </w:rPr>
        <w:t xml:space="preserve"> </w:t>
      </w:r>
      <w:commentRangeStart w:id="12"/>
      <w:r w:rsidRPr="00182284">
        <w:rPr>
          <w:sz w:val="20"/>
          <w:highlight w:val="yellow"/>
          <w:lang w:val="es-CO"/>
        </w:rPr>
        <w:t>(</w:t>
      </w:r>
      <w:r w:rsidR="00182284">
        <w:rPr>
          <w:sz w:val="20"/>
          <w:highlight w:val="yellow"/>
          <w:lang w:val="es-CO"/>
        </w:rPr>
        <w:t>14</w:t>
      </w:r>
      <w:r w:rsidRPr="00182284">
        <w:rPr>
          <w:sz w:val="20"/>
          <w:highlight w:val="yellow"/>
          <w:lang w:val="es-CO"/>
        </w:rPr>
        <w:t>).</w:t>
      </w:r>
      <w:commentRangeEnd w:id="12"/>
      <w:r w:rsidR="00272116" w:rsidRPr="00182284">
        <w:rPr>
          <w:rStyle w:val="Refdecomentario"/>
          <w:rFonts w:asciiTheme="minorHAnsi" w:hAnsiTheme="minorHAnsi"/>
          <w:highlight w:val="yellow"/>
        </w:rPr>
        <w:commentReference w:id="12"/>
      </w:r>
    </w:p>
    <w:p w14:paraId="064A1E12" w14:textId="075A61A8" w:rsidR="00F943DC" w:rsidRPr="001F7697" w:rsidRDefault="00A40608" w:rsidP="001F7697">
      <w:pPr>
        <w:jc w:val="both"/>
        <w:rPr>
          <w:sz w:val="20"/>
        </w:rPr>
      </w:pPr>
      <w:r w:rsidRPr="001F7697">
        <w:rPr>
          <w:sz w:val="20"/>
        </w:rPr>
        <w:t xml:space="preserve">La distribución territorial de la deserción en educación media muestra que localidades con mayores condiciones de vulnerabilidad social —Los Mártires, Usme, Antonio Nariño, Ciudad Bolívar— presentan consistentemente tasas superiores al promedio distrital a lo largo del período analizado, mientras que localidades como Bosa, Usaquén y Teusaquillo mantienen los valores más bajos. Este patrón sugiere que la deserción en educación media no es un fenómeno aleatorio sino estructuralmente condicionado por el entorno socioeconómico del estudiante. Análisis sobre los determinantes de la deserción escolar en Colombia identifican que las dificultades económicas del hogar, la necesidad de vinculación temprana al mercado laboral y la baja valoración social de la educación media en contextos de alta informalidad son factores predictores robustos del abandono en este nivel educativo, con especial concentración en territorios periféricos y de </w:t>
      </w:r>
      <w:proofErr w:type="spellStart"/>
      <w:r w:rsidRPr="001F7697">
        <w:rPr>
          <w:sz w:val="20"/>
        </w:rPr>
        <w:t>alta</w:t>
      </w:r>
      <w:proofErr w:type="spellEnd"/>
      <w:r w:rsidRPr="001F7697">
        <w:rPr>
          <w:sz w:val="20"/>
        </w:rPr>
        <w:t xml:space="preserve"> </w:t>
      </w:r>
      <w:proofErr w:type="spellStart"/>
      <w:r w:rsidRPr="001F7697">
        <w:rPr>
          <w:sz w:val="20"/>
        </w:rPr>
        <w:t>densidad</w:t>
      </w:r>
      <w:proofErr w:type="spellEnd"/>
      <w:r w:rsidRPr="001F7697">
        <w:rPr>
          <w:sz w:val="20"/>
        </w:rPr>
        <w:t xml:space="preserve"> </w:t>
      </w:r>
      <w:proofErr w:type="spellStart"/>
      <w:r w:rsidRPr="001F7697">
        <w:rPr>
          <w:sz w:val="20"/>
        </w:rPr>
        <w:t>poblacional</w:t>
      </w:r>
      <w:proofErr w:type="spellEnd"/>
      <w:r w:rsidR="00182284">
        <w:rPr>
          <w:sz w:val="20"/>
        </w:rPr>
        <w:t xml:space="preserve"> </w:t>
      </w:r>
      <w:commentRangeStart w:id="13"/>
      <w:r w:rsidRPr="00182284">
        <w:rPr>
          <w:sz w:val="20"/>
          <w:highlight w:val="yellow"/>
        </w:rPr>
        <w:t>(</w:t>
      </w:r>
      <w:r w:rsidR="00182284">
        <w:rPr>
          <w:sz w:val="20"/>
          <w:highlight w:val="yellow"/>
        </w:rPr>
        <w:t>15</w:t>
      </w:r>
      <w:r w:rsidRPr="00182284">
        <w:rPr>
          <w:sz w:val="20"/>
          <w:highlight w:val="yellow"/>
        </w:rPr>
        <w:t>).</w:t>
      </w:r>
      <w:commentRangeEnd w:id="13"/>
      <w:r w:rsidR="00272116" w:rsidRPr="00182284">
        <w:rPr>
          <w:rStyle w:val="Refdecomentario"/>
          <w:rFonts w:asciiTheme="minorHAnsi" w:hAnsiTheme="minorHAnsi"/>
          <w:highlight w:val="yellow"/>
        </w:rPr>
        <w:commentReference w:id="13"/>
      </w:r>
    </w:p>
    <w:p w14:paraId="647042B9" w14:textId="2AD11530" w:rsidR="00F943DC" w:rsidRDefault="00A40608" w:rsidP="001F7697">
      <w:pPr>
        <w:jc w:val="both"/>
        <w:rPr>
          <w:sz w:val="20"/>
          <w:lang w:val="es-CO"/>
        </w:rPr>
      </w:pPr>
      <w:r w:rsidRPr="003207D0">
        <w:rPr>
          <w:sz w:val="20"/>
          <w:lang w:val="es-CO"/>
        </w:rPr>
        <w:t>En el nivel de educación media, el embarazo adolescente constituye un</w:t>
      </w:r>
      <w:r w:rsidR="00AE66F3" w:rsidRPr="003207D0">
        <w:rPr>
          <w:sz w:val="20"/>
          <w:lang w:val="es-CO"/>
        </w:rPr>
        <w:t xml:space="preserve"> determinante</w:t>
      </w:r>
      <w:r w:rsidR="003207D0" w:rsidRPr="003207D0">
        <w:rPr>
          <w:sz w:val="20"/>
          <w:lang w:val="es-CO"/>
        </w:rPr>
        <w:t xml:space="preserve"> que explica</w:t>
      </w:r>
      <w:r w:rsidRPr="003207D0">
        <w:rPr>
          <w:sz w:val="20"/>
          <w:lang w:val="es-CO"/>
        </w:rPr>
        <w:t xml:space="preserve"> la deserción escolar femenina. Un estudio realizado en instituciones educativas oficiales del Valle del Cauca encontró que el 24,6 % de las adolescentes embarazadas abandonaron su institución educativa, evidenciando que la maternidad temprana actúa como un </w:t>
      </w:r>
      <w:proofErr w:type="spellStart"/>
      <w:r w:rsidRPr="003207D0">
        <w:rPr>
          <w:sz w:val="20"/>
          <w:lang w:val="es-CO"/>
        </w:rPr>
        <w:t>disruptor</w:t>
      </w:r>
      <w:proofErr w:type="spellEnd"/>
      <w:r w:rsidRPr="003207D0">
        <w:rPr>
          <w:sz w:val="20"/>
          <w:lang w:val="es-CO"/>
        </w:rPr>
        <w:t xml:space="preserve"> crítico de la trayectoria escolar en este nivel</w:t>
      </w:r>
      <w:r w:rsidR="003207D0">
        <w:rPr>
          <w:sz w:val="20"/>
          <w:lang w:val="es-CO"/>
        </w:rPr>
        <w:t xml:space="preserve"> </w:t>
      </w:r>
      <w:commentRangeStart w:id="14"/>
      <w:r w:rsidRPr="00182284">
        <w:rPr>
          <w:sz w:val="20"/>
          <w:highlight w:val="yellow"/>
          <w:lang w:val="es-CO"/>
        </w:rPr>
        <w:t>(</w:t>
      </w:r>
      <w:r w:rsidR="00182284">
        <w:rPr>
          <w:sz w:val="20"/>
          <w:highlight w:val="yellow"/>
          <w:lang w:val="es-CO"/>
        </w:rPr>
        <w:t>1</w:t>
      </w:r>
      <w:r w:rsidR="00182284" w:rsidRPr="00182284">
        <w:rPr>
          <w:sz w:val="20"/>
          <w:highlight w:val="yellow"/>
          <w:lang w:val="es-CO"/>
        </w:rPr>
        <w:t>6</w:t>
      </w:r>
      <w:r w:rsidRPr="003207D0">
        <w:rPr>
          <w:sz w:val="20"/>
          <w:lang w:val="es-CO"/>
        </w:rPr>
        <w:t xml:space="preserve">). </w:t>
      </w:r>
      <w:commentRangeEnd w:id="14"/>
      <w:r w:rsidR="00272116">
        <w:rPr>
          <w:rStyle w:val="Refdecomentario"/>
          <w:rFonts w:asciiTheme="minorHAnsi" w:hAnsiTheme="minorHAnsi"/>
        </w:rPr>
        <w:commentReference w:id="14"/>
      </w:r>
      <w:r w:rsidRPr="003207D0">
        <w:rPr>
          <w:sz w:val="20"/>
          <w:lang w:val="es-CO"/>
        </w:rPr>
        <w:t>Esta relación adquiere particular relevancia en localidades como Los Mártires, Usme y Ciudad Bolívar, donde la confluencia de altas tasas de deserción en educación media y tasas históricamente elevadas de fecundidad adolescente sugiere la existencia de un ciclo de refuerzo mutuo. En este sentido, la deserción en educación media no debe analizarse de forma aislada, sino como parte de un continuo de determinantes sociales que inciden directamente sobre la salud sexual y reproductiva de las adolescentes.</w:t>
      </w:r>
    </w:p>
    <w:tbl>
      <w:tblPr>
        <w:tblStyle w:val="Tablaconcuadrcula"/>
        <w:tblW w:w="95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5187"/>
      </w:tblGrid>
      <w:tr w:rsidR="003207D0" w14:paraId="7B8E834C" w14:textId="77777777" w:rsidTr="00A7275F">
        <w:trPr>
          <w:trHeight w:val="7010"/>
          <w:jc w:val="center"/>
        </w:trPr>
        <w:tc>
          <w:tcPr>
            <w:tcW w:w="4395" w:type="dxa"/>
          </w:tcPr>
          <w:p w14:paraId="77D1E161" w14:textId="4012BC7E" w:rsidR="003207D0" w:rsidRDefault="003207D0" w:rsidP="00A7275F">
            <w:pPr>
              <w:spacing w:after="280"/>
              <w:jc w:val="both"/>
            </w:pPr>
            <w:r>
              <w:rPr>
                <w:noProof/>
                <w:lang w:val="es-MX" w:eastAsia="es-MX"/>
              </w:rPr>
              <w:lastRenderedPageBreak/>
              <w:drawing>
                <wp:inline distT="0" distB="0" distL="0" distR="0" wp14:anchorId="29D5F315" wp14:editId="471A2DC5">
                  <wp:extent cx="2653665" cy="4370705"/>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TASA_DESERCION_MEDIA_ESCOLAR_2023_BogotaDC.png"/>
                          <pic:cNvPicPr/>
                        </pic:nvPicPr>
                        <pic:blipFill>
                          <a:blip r:embed="rId18">
                            <a:extLst>
                              <a:ext uri="{28A0092B-C50C-407E-A947-70E740481C1C}">
                                <a14:useLocalDpi xmlns:a14="http://schemas.microsoft.com/office/drawing/2010/main" val="0"/>
                              </a:ext>
                            </a:extLst>
                          </a:blip>
                          <a:stretch>
                            <a:fillRect/>
                          </a:stretch>
                        </pic:blipFill>
                        <pic:spPr>
                          <a:xfrm>
                            <a:off x="0" y="0"/>
                            <a:ext cx="2653665" cy="4370705"/>
                          </a:xfrm>
                          <a:prstGeom prst="rect">
                            <a:avLst/>
                          </a:prstGeom>
                        </pic:spPr>
                      </pic:pic>
                    </a:graphicData>
                  </a:graphic>
                </wp:inline>
              </w:drawing>
            </w:r>
          </w:p>
        </w:tc>
        <w:tc>
          <w:tcPr>
            <w:tcW w:w="5187" w:type="dxa"/>
          </w:tcPr>
          <w:p w14:paraId="49C0314F" w14:textId="77777777" w:rsidR="003207D0" w:rsidRDefault="003207D0" w:rsidP="00A7275F">
            <w:pPr>
              <w:spacing w:after="280"/>
              <w:jc w:val="both"/>
              <w:rPr>
                <w:noProof/>
                <w:lang w:val="es-MX" w:eastAsia="es-MX"/>
              </w:rPr>
            </w:pPr>
          </w:p>
          <w:p w14:paraId="6D309344" w14:textId="5FD7953E" w:rsidR="003207D0" w:rsidRDefault="003207D0" w:rsidP="00A7275F">
            <w:pPr>
              <w:spacing w:after="280"/>
              <w:jc w:val="both"/>
            </w:pPr>
            <w:r>
              <w:rPr>
                <w:noProof/>
                <w:lang w:val="es-MX" w:eastAsia="es-MX"/>
              </w:rPr>
              <w:drawing>
                <wp:inline distT="0" distB="0" distL="0" distR="0" wp14:anchorId="6C8561D5" wp14:editId="74476907">
                  <wp:extent cx="3156585" cy="2447290"/>
                  <wp:effectExtent l="0" t="0" r="5715"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EDUCACION_DESERCION_MEDIA_Localidades.png"/>
                          <pic:cNvPicPr/>
                        </pic:nvPicPr>
                        <pic:blipFill>
                          <a:blip r:embed="rId19">
                            <a:extLst>
                              <a:ext uri="{28A0092B-C50C-407E-A947-70E740481C1C}">
                                <a14:useLocalDpi xmlns:a14="http://schemas.microsoft.com/office/drawing/2010/main" val="0"/>
                              </a:ext>
                            </a:extLst>
                          </a:blip>
                          <a:stretch>
                            <a:fillRect/>
                          </a:stretch>
                        </pic:blipFill>
                        <pic:spPr>
                          <a:xfrm>
                            <a:off x="0" y="0"/>
                            <a:ext cx="3156585" cy="2447290"/>
                          </a:xfrm>
                          <a:prstGeom prst="rect">
                            <a:avLst/>
                          </a:prstGeom>
                        </pic:spPr>
                      </pic:pic>
                    </a:graphicData>
                  </a:graphic>
                </wp:inline>
              </w:drawing>
            </w:r>
          </w:p>
        </w:tc>
      </w:tr>
    </w:tbl>
    <w:p w14:paraId="4EE66588" w14:textId="77777777" w:rsidR="003207D0" w:rsidRPr="003207D0" w:rsidRDefault="003207D0" w:rsidP="001F7697">
      <w:pPr>
        <w:jc w:val="both"/>
        <w:rPr>
          <w:sz w:val="20"/>
          <w:lang w:val="es-CO"/>
        </w:rPr>
      </w:pPr>
    </w:p>
    <w:p w14:paraId="41BC9729" w14:textId="77777777" w:rsidR="00F943DC" w:rsidRDefault="00A40608">
      <w:pPr>
        <w:pStyle w:val="Ttulo3"/>
      </w:pPr>
      <w:r>
        <w:t>Tasa de Deserción Escolar Secundaria</w:t>
      </w:r>
    </w:p>
    <w:p w14:paraId="7AFFE592" w14:textId="746D929B" w:rsidR="00F943DC" w:rsidRPr="003207D0" w:rsidRDefault="00A40608" w:rsidP="003207D0">
      <w:pPr>
        <w:jc w:val="both"/>
        <w:rPr>
          <w:lang w:val="es-CO"/>
        </w:rPr>
      </w:pPr>
      <w:r w:rsidRPr="002521FA">
        <w:rPr>
          <w:highlight w:val="yellow"/>
          <w:lang w:val="es-CO"/>
        </w:rPr>
        <w:t xml:space="preserve">El </w:t>
      </w:r>
      <w:proofErr w:type="spellStart"/>
      <w:r w:rsidRPr="002521FA">
        <w:rPr>
          <w:highlight w:val="yellow"/>
          <w:lang w:val="es-CO"/>
        </w:rPr>
        <w:t>heatmap</w:t>
      </w:r>
      <w:proofErr w:type="spellEnd"/>
      <w:r w:rsidRPr="003207D0">
        <w:rPr>
          <w:lang w:val="es-CO"/>
        </w:rPr>
        <w:t xml:space="preserve"> evidencia un comportamiento temporal que merece atención particular: la reducción generalizada de 2020 —</w:t>
      </w:r>
      <w:r w:rsidR="002521FA">
        <w:rPr>
          <w:lang w:val="es-CO"/>
        </w:rPr>
        <w:t xml:space="preserve">posiblemente </w:t>
      </w:r>
      <w:r w:rsidRPr="003207D0">
        <w:rPr>
          <w:lang w:val="es-CO"/>
        </w:rPr>
        <w:t xml:space="preserve">atribuible a la suspensión de los mecanismos de registro durante el confinamiento— fue seguida en 2022 por el pico más pronunciado del período en prácticamente todas las localidades, con valores que en algunos casos duplicaron o triplicaron los registros previos a la pandemia (La Candelaria: 8,2 %; Teusaquillo: 10,2 %; Santa Fe: 6,0 %; Los Mártires: 5,8 %). Este repunte </w:t>
      </w:r>
      <w:proofErr w:type="spellStart"/>
      <w:r w:rsidRPr="003207D0">
        <w:rPr>
          <w:lang w:val="es-CO"/>
        </w:rPr>
        <w:t>postpandemia</w:t>
      </w:r>
      <w:proofErr w:type="spellEnd"/>
      <w:r w:rsidRPr="003207D0">
        <w:rPr>
          <w:lang w:val="es-CO"/>
        </w:rPr>
        <w:t xml:space="preserve"> es significativamente más pronunciado en secundaria que en educación media, lo que sugiere que el nivel secundario concentró el mayor rezago acumulado durante el período de cierre escolar. Investigaciones sobre deserción en tiempos de pandemia en Colombia documentan que la desvinculación entre estudiantes e instituciones fue especialmente crítica en secundaria, donde la motivación escolar y el soporte familiar son determinantes para la continuidad, y que la </w:t>
      </w:r>
      <w:proofErr w:type="spellStart"/>
      <w:r w:rsidRPr="003207D0">
        <w:rPr>
          <w:lang w:val="es-CO"/>
        </w:rPr>
        <w:t>revinculación</w:t>
      </w:r>
      <w:proofErr w:type="spellEnd"/>
      <w:r w:rsidRPr="003207D0">
        <w:rPr>
          <w:lang w:val="es-CO"/>
        </w:rPr>
        <w:t xml:space="preserve"> posterior al confinamiento resultó más difícil que en niveles básicos</w:t>
      </w:r>
      <w:r w:rsidR="00182284">
        <w:rPr>
          <w:lang w:val="es-CO"/>
        </w:rPr>
        <w:t xml:space="preserve"> </w:t>
      </w:r>
      <w:commentRangeStart w:id="15"/>
      <w:r w:rsidRPr="00182284">
        <w:rPr>
          <w:highlight w:val="yellow"/>
          <w:lang w:val="es-CO"/>
        </w:rPr>
        <w:t>(</w:t>
      </w:r>
      <w:r w:rsidR="00182284">
        <w:rPr>
          <w:highlight w:val="yellow"/>
          <w:lang w:val="es-CO"/>
        </w:rPr>
        <w:t>17</w:t>
      </w:r>
      <w:r w:rsidRPr="00182284">
        <w:rPr>
          <w:highlight w:val="yellow"/>
          <w:lang w:val="es-CO"/>
        </w:rPr>
        <w:t>)</w:t>
      </w:r>
      <w:r w:rsidRPr="003207D0">
        <w:rPr>
          <w:lang w:val="es-CO"/>
        </w:rPr>
        <w:t>.</w:t>
      </w:r>
      <w:commentRangeEnd w:id="15"/>
      <w:r w:rsidR="00272116">
        <w:rPr>
          <w:rStyle w:val="Refdecomentario"/>
          <w:rFonts w:asciiTheme="minorHAnsi" w:hAnsiTheme="minorHAnsi"/>
        </w:rPr>
        <w:commentReference w:id="15"/>
      </w:r>
    </w:p>
    <w:p w14:paraId="4616FE89" w14:textId="59AA815D" w:rsidR="00F943DC" w:rsidRDefault="00A40608" w:rsidP="003207D0">
      <w:pPr>
        <w:jc w:val="both"/>
        <w:rPr>
          <w:lang w:val="es-CO"/>
        </w:rPr>
      </w:pPr>
      <w:r w:rsidRPr="003207D0">
        <w:rPr>
          <w:lang w:val="es-CO"/>
        </w:rPr>
        <w:t xml:space="preserve">El patrón territorial de la deserción en secundaria resulta </w:t>
      </w:r>
      <w:r w:rsidR="002A1F9B">
        <w:rPr>
          <w:lang w:val="es-CO"/>
        </w:rPr>
        <w:t>con un comportamiento  “diferente al comportamiento tradicional”</w:t>
      </w:r>
      <w:r w:rsidRPr="003207D0">
        <w:rPr>
          <w:lang w:val="es-CO"/>
        </w:rPr>
        <w:t xml:space="preserve"> respecto a otros indicadores sociales: localidades con mejores condiciones socioeconómicas relativas, como Teusaquillo (3,23 </w:t>
      </w:r>
      <w:r w:rsidRPr="003207D0">
        <w:rPr>
          <w:lang w:val="es-CO"/>
        </w:rPr>
        <w:lastRenderedPageBreak/>
        <w:t>%) y La Candelaria (3,03 %), encabezan el ranking de deserción, mientras que Sumapaz (1,29 %) y Bosa (1,55 %) presentan los valores más bajos. Este comportamiento puede explicarse por características estructurales de la oferta educativa en estas localidades: en Teusaquillo y La Candelaria, la matrícula oficial es relativamente baja y concentra población estudiantil en situación de mayor vulnerabilidad que llega a estudiar desde otras localidades, mientras que la mayoría de la población residente de estratos medios y altos</w:t>
      </w:r>
      <w:r w:rsidR="002A1F9B">
        <w:rPr>
          <w:lang w:val="es-CO"/>
        </w:rPr>
        <w:t xml:space="preserve"> asiste a instituciones privadas</w:t>
      </w:r>
      <w:r w:rsidRPr="003207D0">
        <w:rPr>
          <w:lang w:val="es-CO"/>
        </w:rPr>
        <w:t>. En consecuencia, la deserción en el sector oficial de estas localidades refleja las condiciones de la población socioeconómicamente más vulnerable que accede a ese sistema, y no las condiciones promedio del territorio</w:t>
      </w:r>
      <w:r w:rsidR="0022410E">
        <w:rPr>
          <w:lang w:val="es-CO"/>
        </w:rPr>
        <w:t xml:space="preserve"> </w:t>
      </w:r>
      <w:commentRangeStart w:id="16"/>
      <w:r w:rsidRPr="00182284">
        <w:rPr>
          <w:highlight w:val="yellow"/>
          <w:lang w:val="es-CO"/>
        </w:rPr>
        <w:t>(</w:t>
      </w:r>
      <w:r w:rsidR="00182284">
        <w:rPr>
          <w:highlight w:val="yellow"/>
          <w:lang w:val="es-CO"/>
        </w:rPr>
        <w:t>18</w:t>
      </w:r>
      <w:r w:rsidRPr="00182284">
        <w:rPr>
          <w:highlight w:val="yellow"/>
          <w:lang w:val="es-CO"/>
        </w:rPr>
        <w:t>).</w:t>
      </w:r>
      <w:commentRangeEnd w:id="16"/>
      <w:r w:rsidR="002276A3" w:rsidRPr="00182284">
        <w:rPr>
          <w:rStyle w:val="Refdecomentario"/>
          <w:rFonts w:asciiTheme="minorHAnsi" w:hAnsiTheme="minorHAnsi"/>
          <w:highlight w:val="yellow"/>
        </w:rPr>
        <w:commentReference w:id="16"/>
      </w:r>
    </w:p>
    <w:tbl>
      <w:tblPr>
        <w:tblStyle w:val="Tablaconcuadrcula"/>
        <w:tblW w:w="95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5187"/>
      </w:tblGrid>
      <w:tr w:rsidR="0022410E" w14:paraId="5B1B88BD" w14:textId="77777777" w:rsidTr="00A7275F">
        <w:trPr>
          <w:trHeight w:val="7010"/>
          <w:jc w:val="center"/>
        </w:trPr>
        <w:tc>
          <w:tcPr>
            <w:tcW w:w="4395" w:type="dxa"/>
          </w:tcPr>
          <w:p w14:paraId="5692E43B" w14:textId="31C7D642" w:rsidR="0022410E" w:rsidRDefault="0022410E" w:rsidP="00A7275F">
            <w:pPr>
              <w:spacing w:after="280"/>
              <w:jc w:val="both"/>
            </w:pPr>
            <w:r>
              <w:rPr>
                <w:noProof/>
                <w:lang w:val="es-MX" w:eastAsia="es-MX"/>
              </w:rPr>
              <w:drawing>
                <wp:inline distT="0" distB="0" distL="0" distR="0" wp14:anchorId="5A738016" wp14:editId="63DD6F5C">
                  <wp:extent cx="2653665" cy="4370705"/>
                  <wp:effectExtent l="0" t="0" r="0" b="0"/>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TASA_DESERCION_SECUNDARIA_ESCOLAR_2023_BogotaDC.png"/>
                          <pic:cNvPicPr/>
                        </pic:nvPicPr>
                        <pic:blipFill>
                          <a:blip r:embed="rId20">
                            <a:extLst>
                              <a:ext uri="{28A0092B-C50C-407E-A947-70E740481C1C}">
                                <a14:useLocalDpi xmlns:a14="http://schemas.microsoft.com/office/drawing/2010/main" val="0"/>
                              </a:ext>
                            </a:extLst>
                          </a:blip>
                          <a:stretch>
                            <a:fillRect/>
                          </a:stretch>
                        </pic:blipFill>
                        <pic:spPr>
                          <a:xfrm>
                            <a:off x="0" y="0"/>
                            <a:ext cx="2653665" cy="4370705"/>
                          </a:xfrm>
                          <a:prstGeom prst="rect">
                            <a:avLst/>
                          </a:prstGeom>
                        </pic:spPr>
                      </pic:pic>
                    </a:graphicData>
                  </a:graphic>
                </wp:inline>
              </w:drawing>
            </w:r>
          </w:p>
        </w:tc>
        <w:tc>
          <w:tcPr>
            <w:tcW w:w="5187" w:type="dxa"/>
          </w:tcPr>
          <w:p w14:paraId="5C4A813A" w14:textId="77777777" w:rsidR="0022410E" w:rsidRDefault="0022410E" w:rsidP="00A7275F">
            <w:pPr>
              <w:spacing w:after="280"/>
              <w:jc w:val="both"/>
              <w:rPr>
                <w:noProof/>
                <w:lang w:val="es-MX" w:eastAsia="es-MX"/>
              </w:rPr>
            </w:pPr>
          </w:p>
          <w:p w14:paraId="314C6716" w14:textId="009C552C" w:rsidR="0022410E" w:rsidRDefault="0022410E" w:rsidP="00A7275F">
            <w:pPr>
              <w:spacing w:after="280"/>
              <w:jc w:val="both"/>
            </w:pPr>
            <w:r>
              <w:rPr>
                <w:noProof/>
                <w:lang w:val="es-MX" w:eastAsia="es-MX"/>
              </w:rPr>
              <w:drawing>
                <wp:inline distT="0" distB="0" distL="0" distR="0" wp14:anchorId="087C2558" wp14:editId="737C7958">
                  <wp:extent cx="3156585" cy="2427605"/>
                  <wp:effectExtent l="0" t="0" r="5715" b="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EDUCACION_DESERCION_SECUNDARIA_Localidades.png"/>
                          <pic:cNvPicPr/>
                        </pic:nvPicPr>
                        <pic:blipFill>
                          <a:blip r:embed="rId21">
                            <a:extLst>
                              <a:ext uri="{28A0092B-C50C-407E-A947-70E740481C1C}">
                                <a14:useLocalDpi xmlns:a14="http://schemas.microsoft.com/office/drawing/2010/main" val="0"/>
                              </a:ext>
                            </a:extLst>
                          </a:blip>
                          <a:stretch>
                            <a:fillRect/>
                          </a:stretch>
                        </pic:blipFill>
                        <pic:spPr>
                          <a:xfrm>
                            <a:off x="0" y="0"/>
                            <a:ext cx="3156585" cy="2427605"/>
                          </a:xfrm>
                          <a:prstGeom prst="rect">
                            <a:avLst/>
                          </a:prstGeom>
                        </pic:spPr>
                      </pic:pic>
                    </a:graphicData>
                  </a:graphic>
                </wp:inline>
              </w:drawing>
            </w:r>
          </w:p>
        </w:tc>
      </w:tr>
    </w:tbl>
    <w:p w14:paraId="4A27090C" w14:textId="77777777" w:rsidR="0022410E" w:rsidRPr="003207D0" w:rsidRDefault="0022410E" w:rsidP="003207D0">
      <w:pPr>
        <w:jc w:val="both"/>
        <w:rPr>
          <w:lang w:val="es-CO"/>
        </w:rPr>
      </w:pPr>
    </w:p>
    <w:p w14:paraId="55CDEA2F" w14:textId="77777777" w:rsidR="00F943DC" w:rsidRDefault="00A40608">
      <w:pPr>
        <w:pStyle w:val="Ttulo2"/>
      </w:pPr>
      <w:r>
        <w:t xml:space="preserve">11.2.4 </w:t>
      </w:r>
      <w:proofErr w:type="spellStart"/>
      <w:r>
        <w:t>Migración</w:t>
      </w:r>
      <w:proofErr w:type="spellEnd"/>
    </w:p>
    <w:p w14:paraId="579DEE54" w14:textId="77777777" w:rsidR="00F943DC" w:rsidRDefault="00A40608">
      <w:pPr>
        <w:pStyle w:val="Ttulo3"/>
      </w:pPr>
      <w:r>
        <w:t>Porcentaje de Personas Migrantes por Localidad</w:t>
      </w:r>
    </w:p>
    <w:p w14:paraId="60CD03E0" w14:textId="23EFB35E" w:rsidR="00F943DC" w:rsidRPr="000652AF" w:rsidRDefault="00A40608" w:rsidP="000652AF">
      <w:pPr>
        <w:jc w:val="both"/>
        <w:rPr>
          <w:lang w:val="es-CO"/>
        </w:rPr>
      </w:pPr>
      <w:r w:rsidRPr="000652AF">
        <w:rPr>
          <w:lang w:val="es-CO"/>
        </w:rPr>
        <w:t xml:space="preserve">El incremento generalizado del porcentaje de población migrante entre 2017 y 2021 en todas las localidades —con aumentos que en casos como Los Mártires pasaron de 1,77 % a 17,20 % y en La Candelaria de 3,16 % a 9,59 %— refleja el impacto de la </w:t>
      </w:r>
      <w:r w:rsidR="000652AF" w:rsidRPr="000652AF">
        <w:rPr>
          <w:lang w:val="es-CO"/>
        </w:rPr>
        <w:t>migración</w:t>
      </w:r>
      <w:r w:rsidRPr="000652AF">
        <w:rPr>
          <w:lang w:val="es-CO"/>
        </w:rPr>
        <w:t xml:space="preserve"> venezolana </w:t>
      </w:r>
      <w:r w:rsidR="000652AF" w:rsidRPr="000652AF">
        <w:rPr>
          <w:lang w:val="es-CO"/>
        </w:rPr>
        <w:t>en</w:t>
      </w:r>
      <w:r w:rsidRPr="000652AF">
        <w:rPr>
          <w:lang w:val="es-CO"/>
        </w:rPr>
        <w:t xml:space="preserve"> Bogotá. Colombia se convirtió en el principal receptor de población venezolana en América Latina, con más de 1,8 millones de personas para 2021, y Bogotá </w:t>
      </w:r>
      <w:r w:rsidRPr="000652AF">
        <w:rPr>
          <w:lang w:val="es-CO"/>
        </w:rPr>
        <w:lastRenderedPageBreak/>
        <w:t>concentró la mayor proporción de esta población a nivel nacional. Este fenómeno transformó de manera acelerada la composición demográfica de varias localidades, especialmente aquellas con mayor oferta de vivienda asequible, comercio informal y redes de apoyo comunitario preexistentes. Investigaciones sobre asentamiento y segregación residencial de migrantes venezolanos en Bogotá documentan que la concentración tiende a ocurrir en zonas de alta densidad poblacional con condiciones de déficit urbano, donde el acceso a vivienda de bajo costo facilita el asentamiento inicial</w:t>
      </w:r>
      <w:r w:rsidR="000652AF">
        <w:rPr>
          <w:lang w:val="es-CO"/>
        </w:rPr>
        <w:t xml:space="preserve"> </w:t>
      </w:r>
      <w:commentRangeStart w:id="17"/>
      <w:r w:rsidRPr="00182284">
        <w:rPr>
          <w:highlight w:val="yellow"/>
          <w:lang w:val="es-CO"/>
        </w:rPr>
        <w:t>(</w:t>
      </w:r>
      <w:r w:rsidR="00182284" w:rsidRPr="00182284">
        <w:rPr>
          <w:highlight w:val="yellow"/>
          <w:lang w:val="es-CO"/>
        </w:rPr>
        <w:t>19</w:t>
      </w:r>
      <w:r w:rsidRPr="00182284">
        <w:rPr>
          <w:highlight w:val="yellow"/>
          <w:lang w:val="es-CO"/>
        </w:rPr>
        <w:t>).</w:t>
      </w:r>
      <w:commentRangeEnd w:id="17"/>
      <w:r w:rsidR="002276A3" w:rsidRPr="00182284">
        <w:rPr>
          <w:rStyle w:val="Refdecomentario"/>
          <w:rFonts w:asciiTheme="minorHAnsi" w:hAnsiTheme="minorHAnsi"/>
          <w:highlight w:val="yellow"/>
        </w:rPr>
        <w:commentReference w:id="17"/>
      </w:r>
    </w:p>
    <w:p w14:paraId="341A8FC7" w14:textId="61A3A484" w:rsidR="00F943DC" w:rsidRPr="00EB7F40" w:rsidRDefault="00A40608" w:rsidP="00EB7F40">
      <w:pPr>
        <w:jc w:val="both"/>
        <w:rPr>
          <w:lang w:val="es-CO"/>
        </w:rPr>
      </w:pPr>
      <w:r w:rsidRPr="00EB7F40">
        <w:rPr>
          <w:lang w:val="es-CO"/>
        </w:rPr>
        <w:t>El patrón territorial observado —con mayor concentración en localidades centrales y del corredor central (Los Mártires, La Candelaria, Chapinero, Santa Fe, Usaquén) y menor presencia en la periferia sur y zonas industriales— responde a lógicas de asentamiento migrante documentadas en contextos urbanos latinoamericanos: la proximidad a zonas de comercio informal, transporte público y servicios de atención humanitaria, así como la existencia de redes sociales de compatriotas previamente asentados, son factores determinantes en la elección del lugar de residencia. La heterogeneidad territorial evidenciada por el coeficiente de variación del 88,5 % señala que la integración de la población migrante en Bogotá no es un proceso uniforme, sino que reproduce y amplifica desigualdades territoriales preexistentes, con implicaciones directas para la capacidad institucional de cada localidad para responder a las necesidades de esta población</w:t>
      </w:r>
      <w:r w:rsidR="00EB7F40">
        <w:rPr>
          <w:lang w:val="es-CO"/>
        </w:rPr>
        <w:t xml:space="preserve"> </w:t>
      </w:r>
      <w:commentRangeStart w:id="18"/>
      <w:r w:rsidRPr="00182284">
        <w:rPr>
          <w:highlight w:val="yellow"/>
          <w:lang w:val="es-CO"/>
        </w:rPr>
        <w:t>(</w:t>
      </w:r>
      <w:r w:rsidR="00182284">
        <w:rPr>
          <w:highlight w:val="yellow"/>
          <w:lang w:val="es-CO"/>
        </w:rPr>
        <w:t>20</w:t>
      </w:r>
      <w:r w:rsidRPr="00182284">
        <w:rPr>
          <w:highlight w:val="yellow"/>
          <w:lang w:val="es-CO"/>
        </w:rPr>
        <w:t>).</w:t>
      </w:r>
      <w:commentRangeEnd w:id="18"/>
      <w:r w:rsidR="002276A3" w:rsidRPr="00182284">
        <w:rPr>
          <w:rStyle w:val="Refdecomentario"/>
          <w:rFonts w:asciiTheme="minorHAnsi" w:hAnsiTheme="minorHAnsi"/>
          <w:highlight w:val="yellow"/>
        </w:rPr>
        <w:commentReference w:id="18"/>
      </w:r>
    </w:p>
    <w:p w14:paraId="7A0A923E" w14:textId="51013B21" w:rsidR="00F943DC" w:rsidRDefault="00A40608" w:rsidP="00EB7F40">
      <w:pPr>
        <w:jc w:val="both"/>
        <w:rPr>
          <w:lang w:val="es-CO"/>
        </w:rPr>
      </w:pPr>
      <w:r w:rsidRPr="00EB7F40">
        <w:rPr>
          <w:lang w:val="es-CO"/>
        </w:rPr>
        <w:t>La intersección entre migración y fecundidad adolescente constituye una dimensión de particular relevancia para este estudio. Las adolescentes migrantes venezolanas enfrentan barreras específicas para el acceso a servicios de salud sexual y reproductiva: desconocimiento del sistema de salud colombiano, barreras administrativas asociadas al estatus migratorio irregular, situaciones de precariedad económica que limitan el acceso a anticoncepción y, en algunos casos, experiencias de violencia sexual en el trayecto migratorio. En este contexto, las localidades con mayor concentración de población migrante —Los Mártires, La Candelaria, Chapinero— representan territorios de especial atención para la implementación de estrategias de salud sexual y reproductiva</w:t>
      </w:r>
      <w:r w:rsidR="009B57CE">
        <w:rPr>
          <w:lang w:val="es-CO"/>
        </w:rPr>
        <w:t>.</w:t>
      </w:r>
    </w:p>
    <w:tbl>
      <w:tblPr>
        <w:tblStyle w:val="Tablaconcuadrcula"/>
        <w:tblW w:w="95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5187"/>
      </w:tblGrid>
      <w:tr w:rsidR="0022410E" w14:paraId="19303466" w14:textId="77777777" w:rsidTr="00A7275F">
        <w:trPr>
          <w:trHeight w:val="7010"/>
          <w:jc w:val="center"/>
        </w:trPr>
        <w:tc>
          <w:tcPr>
            <w:tcW w:w="4395" w:type="dxa"/>
          </w:tcPr>
          <w:p w14:paraId="1C0B681D" w14:textId="35CBD897" w:rsidR="0022410E" w:rsidRDefault="0022410E" w:rsidP="00A7275F">
            <w:pPr>
              <w:spacing w:after="280"/>
              <w:jc w:val="both"/>
            </w:pPr>
            <w:r>
              <w:rPr>
                <w:noProof/>
                <w:lang w:val="es-MX" w:eastAsia="es-MX"/>
              </w:rPr>
              <w:lastRenderedPageBreak/>
              <w:drawing>
                <wp:inline distT="0" distB="0" distL="0" distR="0" wp14:anchorId="6840E61B" wp14:editId="64B2BA06">
                  <wp:extent cx="2653665" cy="4370705"/>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ORCENTAJE_MIGRANTES_POR_LOCALIDAD_2021_BogotaDC.png"/>
                          <pic:cNvPicPr/>
                        </pic:nvPicPr>
                        <pic:blipFill>
                          <a:blip r:embed="rId22">
                            <a:extLst>
                              <a:ext uri="{28A0092B-C50C-407E-A947-70E740481C1C}">
                                <a14:useLocalDpi xmlns:a14="http://schemas.microsoft.com/office/drawing/2010/main" val="0"/>
                              </a:ext>
                            </a:extLst>
                          </a:blip>
                          <a:stretch>
                            <a:fillRect/>
                          </a:stretch>
                        </pic:blipFill>
                        <pic:spPr>
                          <a:xfrm>
                            <a:off x="0" y="0"/>
                            <a:ext cx="2653665" cy="4370705"/>
                          </a:xfrm>
                          <a:prstGeom prst="rect">
                            <a:avLst/>
                          </a:prstGeom>
                        </pic:spPr>
                      </pic:pic>
                    </a:graphicData>
                  </a:graphic>
                </wp:inline>
              </w:drawing>
            </w:r>
          </w:p>
        </w:tc>
        <w:tc>
          <w:tcPr>
            <w:tcW w:w="5187" w:type="dxa"/>
          </w:tcPr>
          <w:p w14:paraId="7CA5EF5B" w14:textId="77777777" w:rsidR="0022410E" w:rsidRDefault="0022410E" w:rsidP="00A7275F">
            <w:pPr>
              <w:spacing w:after="280"/>
              <w:jc w:val="both"/>
              <w:rPr>
                <w:noProof/>
                <w:lang w:val="es-MX" w:eastAsia="es-MX"/>
              </w:rPr>
            </w:pPr>
          </w:p>
          <w:p w14:paraId="04DC7990" w14:textId="0ADF88EE" w:rsidR="0022410E" w:rsidRDefault="0022410E" w:rsidP="00A7275F">
            <w:pPr>
              <w:spacing w:after="280"/>
              <w:jc w:val="both"/>
            </w:pPr>
            <w:r>
              <w:rPr>
                <w:noProof/>
                <w:lang w:val="es-MX" w:eastAsia="es-MX"/>
              </w:rPr>
              <w:drawing>
                <wp:inline distT="0" distB="0" distL="0" distR="0" wp14:anchorId="3C94C856" wp14:editId="3A5BD133">
                  <wp:extent cx="3156585" cy="2359660"/>
                  <wp:effectExtent l="0" t="0" r="5715" b="254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MIGRANTES_PorLocalidad_Localidades.png"/>
                          <pic:cNvPicPr/>
                        </pic:nvPicPr>
                        <pic:blipFill>
                          <a:blip r:embed="rId23">
                            <a:extLst>
                              <a:ext uri="{28A0092B-C50C-407E-A947-70E740481C1C}">
                                <a14:useLocalDpi xmlns:a14="http://schemas.microsoft.com/office/drawing/2010/main" val="0"/>
                              </a:ext>
                            </a:extLst>
                          </a:blip>
                          <a:stretch>
                            <a:fillRect/>
                          </a:stretch>
                        </pic:blipFill>
                        <pic:spPr>
                          <a:xfrm>
                            <a:off x="0" y="0"/>
                            <a:ext cx="3156585" cy="2359660"/>
                          </a:xfrm>
                          <a:prstGeom prst="rect">
                            <a:avLst/>
                          </a:prstGeom>
                        </pic:spPr>
                      </pic:pic>
                    </a:graphicData>
                  </a:graphic>
                </wp:inline>
              </w:drawing>
            </w:r>
          </w:p>
        </w:tc>
      </w:tr>
    </w:tbl>
    <w:p w14:paraId="094808ED" w14:textId="77777777" w:rsidR="0022410E" w:rsidRPr="00EB7F40" w:rsidRDefault="0022410E" w:rsidP="00EB7F40">
      <w:pPr>
        <w:jc w:val="both"/>
        <w:rPr>
          <w:lang w:val="es-CO"/>
        </w:rPr>
      </w:pPr>
    </w:p>
    <w:p w14:paraId="02994346" w14:textId="77777777" w:rsidR="00F943DC" w:rsidRDefault="00A40608">
      <w:pPr>
        <w:pStyle w:val="Ttulo2"/>
      </w:pPr>
      <w:r>
        <w:t>11.2.5 Violencias</w:t>
      </w:r>
    </w:p>
    <w:p w14:paraId="5B2B8F09" w14:textId="77777777" w:rsidR="00F943DC" w:rsidRDefault="00A40608">
      <w:pPr>
        <w:pStyle w:val="Ttulo3"/>
      </w:pPr>
      <w:proofErr w:type="spellStart"/>
      <w:r>
        <w:t>Casos</w:t>
      </w:r>
      <w:proofErr w:type="spellEnd"/>
      <w:r>
        <w:t xml:space="preserve"> de </w:t>
      </w:r>
      <w:proofErr w:type="spellStart"/>
      <w:r>
        <w:t>Notificación</w:t>
      </w:r>
      <w:proofErr w:type="spellEnd"/>
      <w:r>
        <w:t xml:space="preserve"> </w:t>
      </w:r>
      <w:proofErr w:type="spellStart"/>
      <w:r>
        <w:t>por</w:t>
      </w:r>
      <w:proofErr w:type="spellEnd"/>
      <w:r>
        <w:t xml:space="preserve"> Sospecha de Violencia Sexual en Mujeres Menores de 19 Años</w:t>
      </w:r>
    </w:p>
    <w:p w14:paraId="311B4342" w14:textId="783E128F" w:rsidR="00F943DC" w:rsidRPr="00432841" w:rsidRDefault="00A40608" w:rsidP="00432841">
      <w:pPr>
        <w:jc w:val="both"/>
        <w:rPr>
          <w:sz w:val="20"/>
          <w:lang w:val="es-CO"/>
        </w:rPr>
      </w:pPr>
      <w:r w:rsidRPr="00432841">
        <w:rPr>
          <w:sz w:val="20"/>
          <w:highlight w:val="yellow"/>
          <w:lang w:val="es-CO"/>
        </w:rPr>
        <w:t xml:space="preserve">El </w:t>
      </w:r>
      <w:proofErr w:type="spellStart"/>
      <w:r w:rsidRPr="00432841">
        <w:rPr>
          <w:sz w:val="20"/>
          <w:highlight w:val="yellow"/>
          <w:lang w:val="es-CO"/>
        </w:rPr>
        <w:t>heatmap</w:t>
      </w:r>
      <w:proofErr w:type="spellEnd"/>
      <w:r w:rsidRPr="00432841">
        <w:rPr>
          <w:sz w:val="20"/>
          <w:lang w:val="es-CO"/>
        </w:rPr>
        <w:t xml:space="preserve"> revela un patrón temporal de singular relevancia: las tasas de notificación experimentaron un incremento sostenido y pronunciado a partir de 2021 en la totalidad de las localidades, con valores que en varios territorios multiplicaron por tres o cuatro los registros de años anteriores. Este comportamiento debe interpretarse con cautela, dado que el indicador mide notificaciones por sospecha —no casos confirmados— y su incremento puede reflejar tanto un aumento real en la ocurrencia de la violencia como una mejora en la capacidad de detección y reporte del sistema de salud. El Instituto Nacional de Salud documenta que entre 2020 y 2021 la notificación de violencia de género en Colombia aumentó un 12,7 %, en parte atribuible a la reactivación de los servicios de salud tras el confinamiento, que había suspendido temporalmente los mecanismos de detección activa. En cualquier caso, la tendencia creciente señala que la violencia sexual contra niñas y adolescentes representa un problema de salud pública en escalada que demanda respuestas institucionales urgentes y sostenidas</w:t>
      </w:r>
      <w:r w:rsidR="00432841">
        <w:rPr>
          <w:sz w:val="20"/>
          <w:lang w:val="es-CO"/>
        </w:rPr>
        <w:t xml:space="preserve"> </w:t>
      </w:r>
      <w:commentRangeStart w:id="19"/>
      <w:r w:rsidRPr="00432841">
        <w:rPr>
          <w:sz w:val="20"/>
          <w:lang w:val="es-CO"/>
        </w:rPr>
        <w:t>(</w:t>
      </w:r>
      <w:r w:rsidR="00182284" w:rsidRPr="00182284">
        <w:rPr>
          <w:sz w:val="20"/>
          <w:highlight w:val="yellow"/>
          <w:lang w:val="es-CO"/>
        </w:rPr>
        <w:t>2</w:t>
      </w:r>
      <w:r w:rsidRPr="00182284">
        <w:rPr>
          <w:sz w:val="20"/>
          <w:highlight w:val="yellow"/>
          <w:lang w:val="es-CO"/>
        </w:rPr>
        <w:t>1)</w:t>
      </w:r>
      <w:r w:rsidRPr="00432841">
        <w:rPr>
          <w:sz w:val="20"/>
          <w:lang w:val="es-CO"/>
        </w:rPr>
        <w:t>.</w:t>
      </w:r>
      <w:commentRangeEnd w:id="19"/>
      <w:r w:rsidR="002276A3">
        <w:rPr>
          <w:rStyle w:val="Refdecomentario"/>
          <w:rFonts w:asciiTheme="minorHAnsi" w:hAnsiTheme="minorHAnsi"/>
        </w:rPr>
        <w:commentReference w:id="19"/>
      </w:r>
    </w:p>
    <w:p w14:paraId="7DEFFF88" w14:textId="1A15E94C" w:rsidR="00F943DC" w:rsidRPr="00432841" w:rsidRDefault="00A40608" w:rsidP="00432841">
      <w:pPr>
        <w:jc w:val="both"/>
        <w:rPr>
          <w:sz w:val="20"/>
          <w:lang w:val="es-CO"/>
        </w:rPr>
      </w:pPr>
      <w:r w:rsidRPr="00432841">
        <w:rPr>
          <w:sz w:val="20"/>
          <w:lang w:val="es-CO"/>
        </w:rPr>
        <w:t xml:space="preserve">El patrón territorial muestra que localidades como Sumapaz, Ciudad Bolívar, Bosa, Usme y Los Mártires concentran consistentemente las tasas más altas a lo largo del período, mientras que </w:t>
      </w:r>
      <w:r w:rsidRPr="00432841">
        <w:rPr>
          <w:sz w:val="20"/>
          <w:lang w:val="es-CO"/>
        </w:rPr>
        <w:lastRenderedPageBreak/>
        <w:t>Chapinero, Usaquén y Teusaquillo presentan los valores más bajos. Sin embargo, la distribución no replica exactamente el</w:t>
      </w:r>
      <w:r w:rsidR="00432841">
        <w:rPr>
          <w:sz w:val="20"/>
          <w:lang w:val="es-CO"/>
        </w:rPr>
        <w:t xml:space="preserve"> gradiente de pobreza norte-sur</w:t>
      </w:r>
      <w:r w:rsidRPr="00432841">
        <w:rPr>
          <w:sz w:val="20"/>
          <w:lang w:val="es-CO"/>
        </w:rPr>
        <w:t>. La Defensoría del Pueblo documenta que el 78 % de los casos de violencia sexual contra niños, niñas y adolescentes ocurre en el hogar y que en el 50 % de los casos el agresor es un familiar o persona cercana, lo que indica que este tipo de violencia trasciende las condiciones del entorno territorial y opera principalmente en el ámbito privado de la familia</w:t>
      </w:r>
      <w:r w:rsidR="00432841">
        <w:rPr>
          <w:sz w:val="20"/>
          <w:lang w:val="es-CO"/>
        </w:rPr>
        <w:t xml:space="preserve"> </w:t>
      </w:r>
      <w:commentRangeStart w:id="20"/>
      <w:r w:rsidRPr="00182284">
        <w:rPr>
          <w:sz w:val="20"/>
          <w:highlight w:val="yellow"/>
          <w:lang w:val="es-CO"/>
        </w:rPr>
        <w:t>(</w:t>
      </w:r>
      <w:r w:rsidR="00182284" w:rsidRPr="00182284">
        <w:rPr>
          <w:sz w:val="20"/>
          <w:highlight w:val="yellow"/>
          <w:lang w:val="es-CO"/>
        </w:rPr>
        <w:t>22</w:t>
      </w:r>
      <w:r w:rsidRPr="00182284">
        <w:rPr>
          <w:sz w:val="20"/>
          <w:highlight w:val="yellow"/>
          <w:lang w:val="es-CO"/>
        </w:rPr>
        <w:t>).</w:t>
      </w:r>
      <w:commentRangeEnd w:id="20"/>
      <w:r w:rsidR="002276A3">
        <w:rPr>
          <w:rStyle w:val="Refdecomentario"/>
          <w:rFonts w:asciiTheme="minorHAnsi" w:hAnsiTheme="minorHAnsi"/>
        </w:rPr>
        <w:commentReference w:id="20"/>
      </w:r>
    </w:p>
    <w:p w14:paraId="7B2B0C53" w14:textId="0A791BC6" w:rsidR="00F943DC" w:rsidRDefault="00F943DC" w:rsidP="00432841">
      <w:pPr>
        <w:jc w:val="both"/>
        <w:rPr>
          <w:sz w:val="20"/>
          <w:lang w:val="es-CO"/>
        </w:rPr>
      </w:pPr>
    </w:p>
    <w:tbl>
      <w:tblPr>
        <w:tblStyle w:val="Tablaconcuadrcula"/>
        <w:tblW w:w="95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5187"/>
      </w:tblGrid>
      <w:tr w:rsidR="00432841" w14:paraId="195F15AC" w14:textId="77777777" w:rsidTr="00A7275F">
        <w:trPr>
          <w:trHeight w:val="7010"/>
          <w:jc w:val="center"/>
        </w:trPr>
        <w:tc>
          <w:tcPr>
            <w:tcW w:w="4395" w:type="dxa"/>
          </w:tcPr>
          <w:p w14:paraId="71E5636E" w14:textId="336AAF97" w:rsidR="00432841" w:rsidRDefault="00432841" w:rsidP="00A7275F">
            <w:pPr>
              <w:spacing w:after="280"/>
              <w:jc w:val="both"/>
            </w:pPr>
            <w:r>
              <w:rPr>
                <w:noProof/>
                <w:lang w:val="es-MX" w:eastAsia="es-MX"/>
              </w:rPr>
              <w:drawing>
                <wp:inline distT="0" distB="0" distL="0" distR="0" wp14:anchorId="1EDF0F92" wp14:editId="77EBE2FB">
                  <wp:extent cx="2653665" cy="4370705"/>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IOLENCIA_SEXUAL_EN_MUJERES_MENORES_19_ANIOS_2024_BogotaDC.png"/>
                          <pic:cNvPicPr/>
                        </pic:nvPicPr>
                        <pic:blipFill>
                          <a:blip r:embed="rId24">
                            <a:extLst>
                              <a:ext uri="{28A0092B-C50C-407E-A947-70E740481C1C}">
                                <a14:useLocalDpi xmlns:a14="http://schemas.microsoft.com/office/drawing/2010/main" val="0"/>
                              </a:ext>
                            </a:extLst>
                          </a:blip>
                          <a:stretch>
                            <a:fillRect/>
                          </a:stretch>
                        </pic:blipFill>
                        <pic:spPr>
                          <a:xfrm>
                            <a:off x="0" y="0"/>
                            <a:ext cx="2653665" cy="4370705"/>
                          </a:xfrm>
                          <a:prstGeom prst="rect">
                            <a:avLst/>
                          </a:prstGeom>
                        </pic:spPr>
                      </pic:pic>
                    </a:graphicData>
                  </a:graphic>
                </wp:inline>
              </w:drawing>
            </w:r>
          </w:p>
        </w:tc>
        <w:tc>
          <w:tcPr>
            <w:tcW w:w="5187" w:type="dxa"/>
          </w:tcPr>
          <w:p w14:paraId="08246229" w14:textId="77777777" w:rsidR="00432841" w:rsidRDefault="00432841" w:rsidP="00A7275F">
            <w:pPr>
              <w:spacing w:after="280"/>
              <w:jc w:val="both"/>
              <w:rPr>
                <w:noProof/>
                <w:lang w:val="es-MX" w:eastAsia="es-MX"/>
              </w:rPr>
            </w:pPr>
          </w:p>
          <w:p w14:paraId="76D66149" w14:textId="7442ACB1" w:rsidR="00432841" w:rsidRDefault="00432841" w:rsidP="00A7275F">
            <w:pPr>
              <w:spacing w:after="280"/>
              <w:jc w:val="both"/>
            </w:pPr>
            <w:r>
              <w:rPr>
                <w:noProof/>
                <w:lang w:val="es-MX" w:eastAsia="es-MX"/>
              </w:rPr>
              <w:drawing>
                <wp:inline distT="0" distB="0" distL="0" distR="0" wp14:anchorId="3CE7F205" wp14:editId="656A5A61">
                  <wp:extent cx="3156585" cy="1855470"/>
                  <wp:effectExtent l="0" t="0" r="5715"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VIOLENCIAS_ViolenciaSEXUAL_Menores19_Localidades.png"/>
                          <pic:cNvPicPr/>
                        </pic:nvPicPr>
                        <pic:blipFill>
                          <a:blip r:embed="rId25">
                            <a:extLst>
                              <a:ext uri="{28A0092B-C50C-407E-A947-70E740481C1C}">
                                <a14:useLocalDpi xmlns:a14="http://schemas.microsoft.com/office/drawing/2010/main" val="0"/>
                              </a:ext>
                            </a:extLst>
                          </a:blip>
                          <a:stretch>
                            <a:fillRect/>
                          </a:stretch>
                        </pic:blipFill>
                        <pic:spPr>
                          <a:xfrm>
                            <a:off x="0" y="0"/>
                            <a:ext cx="3156585" cy="1855470"/>
                          </a:xfrm>
                          <a:prstGeom prst="rect">
                            <a:avLst/>
                          </a:prstGeom>
                        </pic:spPr>
                      </pic:pic>
                    </a:graphicData>
                  </a:graphic>
                </wp:inline>
              </w:drawing>
            </w:r>
          </w:p>
        </w:tc>
      </w:tr>
    </w:tbl>
    <w:p w14:paraId="0D46D851" w14:textId="77777777" w:rsidR="00432841" w:rsidRPr="00432841" w:rsidRDefault="00432841" w:rsidP="00432841">
      <w:pPr>
        <w:jc w:val="both"/>
        <w:rPr>
          <w:sz w:val="20"/>
          <w:lang w:val="es-CO"/>
        </w:rPr>
      </w:pPr>
    </w:p>
    <w:p w14:paraId="3D84B92C" w14:textId="77777777" w:rsidR="00F943DC" w:rsidRDefault="00A40608">
      <w:pPr>
        <w:pStyle w:val="Ttulo3"/>
      </w:pPr>
      <w:r>
        <w:t>Casos de Notificación por Sospecha de Violencia Física en Mujeres Menores de 19 Años</w:t>
      </w:r>
    </w:p>
    <w:p w14:paraId="27C0B1EA" w14:textId="110E7321" w:rsidR="00F943DC" w:rsidRDefault="00A40608" w:rsidP="0056275B">
      <w:pPr>
        <w:jc w:val="both"/>
      </w:pPr>
      <w:r>
        <w:t xml:space="preserve">A diferencia de la violencia sexual, cuya tasa de notificación exhibe un incremento pronunciado y sostenido a partir de 2021, la violencia física muestra un comportamiento temporal más heterogéneo entre localidades. </w:t>
      </w:r>
      <w:r w:rsidRPr="00EE0C32">
        <w:rPr>
          <w:highlight w:val="yellow"/>
        </w:rPr>
        <w:t>El heatmap</w:t>
      </w:r>
      <w:r>
        <w:t xml:space="preserve"> revela que varias localidades del sur —San Cristóbal, Usme, Ciudad Bolívar, Bosa— presentaban tasas elevadas ya desde 2013-2016, con cierta estabilización o leve descenso en el período 2017-2020, seguida de un repunte en 2022-2024. Sumapaz constituye un caso atípico, con una tasa extremadamente alta en 2013 (1.191 por 10.000 mujeres) que decreció drásticamente y llegó a cero en 2019-2020, comportamiento que puede atribuirse a cambios en los </w:t>
      </w:r>
      <w:proofErr w:type="gramStart"/>
      <w:r>
        <w:lastRenderedPageBreak/>
        <w:t>mecanismos</w:t>
      </w:r>
      <w:proofErr w:type="gramEnd"/>
      <w:r>
        <w:t xml:space="preserve"> de reporte en zonas rurales dispersas antes que a variaciones reales en la magnitud del fenómeno. </w:t>
      </w:r>
    </w:p>
    <w:p w14:paraId="26762B30" w14:textId="6ECACD7F" w:rsidR="00F943DC" w:rsidRDefault="00A40608" w:rsidP="0056275B">
      <w:pPr>
        <w:jc w:val="both"/>
      </w:pPr>
      <w:r>
        <w:t xml:space="preserve">El patrón territorial de la violencia física contra niñas y adolescentes reproduce con mayor claridad el gradiente de vulnerabilidad socioeconómica norte-sur que caracteriza otros indicadores </w:t>
      </w:r>
      <w:proofErr w:type="gramStart"/>
      <w:r>
        <w:t>del</w:t>
      </w:r>
      <w:proofErr w:type="gramEnd"/>
      <w:r>
        <w:t xml:space="preserve"> distrito. Las localidades del sur y suroriente —Santa Fe, Usme, Ciudad Bolívar, Bosa, San Cristóbal y Rafael Uribe Uribe— concentran consistentemente las tasas más altas, mientras que Teusaquillo, Chapinero y Usaquén presentan los valores más bajos. Esta distribución, a diferencia de la violencia sexual que presenta una concentración más marcada en localidades centrales, sugiere que la violencia física está más directamente asociada a las condiciones de hacinamiento, estrés económico y limitaciones en el acceso a mecanismos de denuncia que caracterizan a los territorios con mayor vulnerabilidad estructural. Análisis epidemiológicos de la violencia intrafamiliar en Colombia documentan que los factores de riesgo asociados a la violencia física incluyen el desempleo, la informalidad laboral y el déficit de redes de apoyo institucional, condiciones que se concentran precisamente en los territorios con </w:t>
      </w:r>
      <w:proofErr w:type="spellStart"/>
      <w:r>
        <w:t>tasas</w:t>
      </w:r>
      <w:proofErr w:type="spellEnd"/>
      <w:r>
        <w:t xml:space="preserve"> </w:t>
      </w:r>
      <w:proofErr w:type="spellStart"/>
      <w:r>
        <w:t>más</w:t>
      </w:r>
      <w:proofErr w:type="spellEnd"/>
      <w:r>
        <w:t xml:space="preserve"> </w:t>
      </w:r>
      <w:proofErr w:type="spellStart"/>
      <w:r>
        <w:t>elevadas</w:t>
      </w:r>
      <w:proofErr w:type="spellEnd"/>
      <w:r w:rsidR="00182284">
        <w:t xml:space="preserve"> </w:t>
      </w:r>
      <w:commentRangeStart w:id="21"/>
      <w:r w:rsidRPr="00182284">
        <w:rPr>
          <w:highlight w:val="yellow"/>
        </w:rPr>
        <w:t>(</w:t>
      </w:r>
      <w:r w:rsidR="00182284">
        <w:rPr>
          <w:highlight w:val="yellow"/>
        </w:rPr>
        <w:t>23</w:t>
      </w:r>
      <w:r w:rsidRPr="00182284">
        <w:rPr>
          <w:highlight w:val="yellow"/>
        </w:rPr>
        <w:t>).</w:t>
      </w:r>
      <w:commentRangeEnd w:id="21"/>
      <w:r w:rsidR="002276A3" w:rsidRPr="00182284">
        <w:rPr>
          <w:rStyle w:val="Refdecomentario"/>
          <w:rFonts w:asciiTheme="minorHAnsi" w:hAnsiTheme="minorHAnsi"/>
          <w:highlight w:val="yellow"/>
        </w:rPr>
        <w:commentReference w:id="21"/>
      </w:r>
    </w:p>
    <w:p w14:paraId="6923ADCE" w14:textId="77777777" w:rsidR="00EE0C32" w:rsidRDefault="00EE0C32"/>
    <w:tbl>
      <w:tblPr>
        <w:tblStyle w:val="Tablaconcuadrcula"/>
        <w:tblW w:w="958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395"/>
        <w:gridCol w:w="5187"/>
      </w:tblGrid>
      <w:tr w:rsidR="00EE0C32" w14:paraId="2B73BA4E" w14:textId="77777777" w:rsidTr="00A7275F">
        <w:trPr>
          <w:trHeight w:val="7010"/>
          <w:jc w:val="center"/>
        </w:trPr>
        <w:tc>
          <w:tcPr>
            <w:tcW w:w="4395" w:type="dxa"/>
          </w:tcPr>
          <w:p w14:paraId="7427858D" w14:textId="30BC1CCC" w:rsidR="00EE0C32" w:rsidRDefault="00EE0C32" w:rsidP="00A7275F">
            <w:pPr>
              <w:spacing w:after="280"/>
              <w:jc w:val="both"/>
            </w:pPr>
            <w:r>
              <w:rPr>
                <w:noProof/>
                <w:lang w:val="es-MX" w:eastAsia="es-MX"/>
              </w:rPr>
              <w:drawing>
                <wp:inline distT="0" distB="0" distL="0" distR="0" wp14:anchorId="3BA98777" wp14:editId="1F95EBC7">
                  <wp:extent cx="2653665" cy="4370705"/>
                  <wp:effectExtent l="0" t="0" r="0" b="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VIOLENCIA_FISICA_EN_MUJERES_MENORES_19_ANIOS_2024_BogotaDC.png"/>
                          <pic:cNvPicPr/>
                        </pic:nvPicPr>
                        <pic:blipFill>
                          <a:blip r:embed="rId26">
                            <a:extLst>
                              <a:ext uri="{28A0092B-C50C-407E-A947-70E740481C1C}">
                                <a14:useLocalDpi xmlns:a14="http://schemas.microsoft.com/office/drawing/2010/main" val="0"/>
                              </a:ext>
                            </a:extLst>
                          </a:blip>
                          <a:stretch>
                            <a:fillRect/>
                          </a:stretch>
                        </pic:blipFill>
                        <pic:spPr>
                          <a:xfrm>
                            <a:off x="0" y="0"/>
                            <a:ext cx="2653665" cy="4370705"/>
                          </a:xfrm>
                          <a:prstGeom prst="rect">
                            <a:avLst/>
                          </a:prstGeom>
                        </pic:spPr>
                      </pic:pic>
                    </a:graphicData>
                  </a:graphic>
                </wp:inline>
              </w:drawing>
            </w:r>
          </w:p>
        </w:tc>
        <w:tc>
          <w:tcPr>
            <w:tcW w:w="5187" w:type="dxa"/>
          </w:tcPr>
          <w:p w14:paraId="2B3B6D8E" w14:textId="77777777" w:rsidR="00EE0C32" w:rsidRDefault="00EE0C32" w:rsidP="00A7275F">
            <w:pPr>
              <w:spacing w:after="280"/>
              <w:jc w:val="both"/>
              <w:rPr>
                <w:noProof/>
                <w:lang w:val="es-MX" w:eastAsia="es-MX"/>
              </w:rPr>
            </w:pPr>
          </w:p>
          <w:p w14:paraId="21E6B9D4" w14:textId="7E65DD9F" w:rsidR="00EE0C32" w:rsidRDefault="00EE0C32" w:rsidP="00A7275F">
            <w:pPr>
              <w:spacing w:after="280"/>
              <w:jc w:val="both"/>
            </w:pPr>
            <w:r>
              <w:rPr>
                <w:noProof/>
                <w:lang w:val="es-MX" w:eastAsia="es-MX"/>
              </w:rPr>
              <w:drawing>
                <wp:inline distT="0" distB="0" distL="0" distR="0" wp14:anchorId="24F423A2" wp14:editId="6B0F6C58">
                  <wp:extent cx="3156585" cy="1855470"/>
                  <wp:effectExtent l="0" t="0" r="5715" b="0"/>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VIOLENCIAS_ViolenciaFISICA_Menores19_Localidades.png"/>
                          <pic:cNvPicPr/>
                        </pic:nvPicPr>
                        <pic:blipFill>
                          <a:blip r:embed="rId27">
                            <a:extLst>
                              <a:ext uri="{28A0092B-C50C-407E-A947-70E740481C1C}">
                                <a14:useLocalDpi xmlns:a14="http://schemas.microsoft.com/office/drawing/2010/main" val="0"/>
                              </a:ext>
                            </a:extLst>
                          </a:blip>
                          <a:stretch>
                            <a:fillRect/>
                          </a:stretch>
                        </pic:blipFill>
                        <pic:spPr>
                          <a:xfrm>
                            <a:off x="0" y="0"/>
                            <a:ext cx="3156585" cy="1855470"/>
                          </a:xfrm>
                          <a:prstGeom prst="rect">
                            <a:avLst/>
                          </a:prstGeom>
                        </pic:spPr>
                      </pic:pic>
                    </a:graphicData>
                  </a:graphic>
                </wp:inline>
              </w:drawing>
            </w:r>
          </w:p>
        </w:tc>
      </w:tr>
    </w:tbl>
    <w:p w14:paraId="18CFBA37" w14:textId="77777777" w:rsidR="00EE0C32" w:rsidRDefault="00EE0C32"/>
    <w:p w14:paraId="6B4CB3BA" w14:textId="77777777" w:rsidR="00F943DC" w:rsidRDefault="00A40608">
      <w:r>
        <w:br w:type="page"/>
      </w:r>
    </w:p>
    <w:p w14:paraId="7897E891" w14:textId="77777777" w:rsidR="00F943DC" w:rsidRDefault="00A40608">
      <w:pPr>
        <w:pStyle w:val="Ttulo1"/>
      </w:pPr>
      <w:r>
        <w:lastRenderedPageBreak/>
        <w:t>Referencias</w:t>
      </w:r>
    </w:p>
    <w:p w14:paraId="76C20892" w14:textId="77777777" w:rsidR="00F943DC" w:rsidRDefault="00A40608">
      <w:r>
        <w:rPr>
          <w:sz w:val="20"/>
        </w:rPr>
        <w:t>1. Sabatini F, Cáceres G, Cerda J. Segregación residencial en las principales ciudades chilenas: tendencias de las tres últimas décadas y posibles cursos de acción. EURE. 2001;27(82):21-42. Disponible en: https://www.eure.cl/index.php/eure/article/view/1258</w:t>
      </w:r>
    </w:p>
    <w:p w14:paraId="0CCFB9A9" w14:textId="77777777" w:rsidR="00F943DC" w:rsidRDefault="00A40608">
      <w:r>
        <w:rPr>
          <w:sz w:val="20"/>
        </w:rPr>
        <w:t>2. Secretaría Distrital de Planeación. Segregación socioespacial en Bogotá. Bogotá: SDP; 2019. Disponible en: https://www.sdp.gov.co/transparencia/informacion-interes/publicaciones/estudios/039-segregacion-socioespacial-bogota</w:t>
      </w:r>
    </w:p>
    <w:p w14:paraId="18123C2C" w14:textId="77777777" w:rsidR="00F943DC" w:rsidRDefault="00A40608">
      <w:r>
        <w:rPr>
          <w:sz w:val="20"/>
        </w:rPr>
        <w:t>3. Flórez CE, Soto VE. Fecundidad adolescente y desigualdad en Colombia. Santiago: CEPAL/CELADE; 2007. Disponible en: https://www.cepal.org/sites/default/files/events/files/florez_soto.pdf</w:t>
      </w:r>
    </w:p>
    <w:p w14:paraId="0E9B2B2B" w14:textId="77777777" w:rsidR="00F943DC" w:rsidRDefault="00A40608">
      <w:r>
        <w:rPr>
          <w:sz w:val="20"/>
        </w:rPr>
        <w:t>4. OPS/OMS. Acelerar el progreso hacia la reducción del embarazo en la adolescencia en América Latina y el Caribe. Washington D.C.: OPS; 2018. Disponible en: https://www.paho.org/es/documentos/acelerar-progreso-hacia-reduccion-embarazo-adolescencia-america-latina-caribe</w:t>
      </w:r>
    </w:p>
    <w:p w14:paraId="71D3D986" w14:textId="77777777" w:rsidR="00F943DC" w:rsidRDefault="00A40608">
      <w:r>
        <w:rPr>
          <w:sz w:val="20"/>
        </w:rPr>
        <w:t>5. ONU-Hábitat. El espacio público: componente clave de una ciudad sostenible. Nairobi: ONU-Hábitat; 2015. Disponible en: https://habitat3.org/wp-content/uploads/Issue-Paper-11_Public_Space-SP.pdf</w:t>
      </w:r>
    </w:p>
    <w:p w14:paraId="674CDFC4" w14:textId="77777777" w:rsidR="00F943DC" w:rsidRDefault="00A40608">
      <w:r>
        <w:rPr>
          <w:sz w:val="20"/>
        </w:rPr>
        <w:t>6. Cortés-Salcedo A. ¿Equidad en la dotación de espacio público en Bogotá? Cuadernos de Vivienda y Urbanismo. 2020;13. Disponible en: http://www.scielo.org.co/scielo.php?script=sci_arttext&amp;pid=S1657-03082020000100018&amp;lang=pt</w:t>
      </w:r>
    </w:p>
    <w:p w14:paraId="0B31463C" w14:textId="77777777" w:rsidR="00F943DC" w:rsidRDefault="00A40608">
      <w:r>
        <w:rPr>
          <w:sz w:val="20"/>
        </w:rPr>
        <w:t>7. Ruiz-Tagle J, López E. Calidad de vida y acceso inequitativo al espacio público en Bogotá. Territorios. 2018;(39):31-62. Disponible en: https://www.researchgate.net/publication/328999616_Calidad_de_vida_y_acceso_inequitativo_al_espacio_publico_en_Bogota</w:t>
      </w:r>
    </w:p>
    <w:p w14:paraId="7C603214" w14:textId="77777777" w:rsidR="00F943DC" w:rsidRDefault="00A40608">
      <w:r>
        <w:rPr>
          <w:sz w:val="20"/>
        </w:rPr>
        <w:t>8. Morales LF, Bonilla HA. Acceso a fuentes de empleo, segregación residencial y resultados laborales de las mujeres en Bogotá. Washington D.C.: BID; 2015. Disponible en: https://ideas.repec.org/p/idb/brikps/6789.html</w:t>
      </w:r>
    </w:p>
    <w:p w14:paraId="116E11A5" w14:textId="77777777" w:rsidR="00F943DC" w:rsidRDefault="00A40608">
      <w:r>
        <w:rPr>
          <w:sz w:val="20"/>
        </w:rPr>
        <w:t>9. Bohórquez-Moreno C, Quintero-Bolaños SP, Piñeres-Espitia G. Brecha de género en el mercado laboral colombiano en tiempos de la COVID-19. Semestre Económico. 2020;23(55):285-308. Disponible en: http://www.scielo.org.co/scielo.php?script=sci_arttext&amp;pid=S0120-63462020000200285</w:t>
      </w:r>
    </w:p>
    <w:p w14:paraId="27040ABC" w14:textId="56205CEF" w:rsidR="00F943DC" w:rsidRDefault="00A40608">
      <w:r w:rsidRPr="00AD1673">
        <w:rPr>
          <w:color w:val="FF0000"/>
          <w:sz w:val="20"/>
        </w:rPr>
        <w:t>1</w:t>
      </w:r>
      <w:r w:rsidR="006012C2">
        <w:rPr>
          <w:color w:val="FF0000"/>
          <w:sz w:val="20"/>
        </w:rPr>
        <w:t>0</w:t>
      </w:r>
      <w:r>
        <w:rPr>
          <w:sz w:val="20"/>
        </w:rPr>
        <w:t xml:space="preserve"> </w:t>
      </w:r>
      <w:proofErr w:type="spellStart"/>
      <w:r>
        <w:rPr>
          <w:sz w:val="20"/>
        </w:rPr>
        <w:t>García</w:t>
      </w:r>
      <w:proofErr w:type="spellEnd"/>
      <w:r>
        <w:rPr>
          <w:sz w:val="20"/>
        </w:rPr>
        <w:t>-Romero H, Uribe-</w:t>
      </w:r>
      <w:proofErr w:type="spellStart"/>
      <w:r>
        <w:rPr>
          <w:sz w:val="20"/>
        </w:rPr>
        <w:t>Urán</w:t>
      </w:r>
      <w:proofErr w:type="spellEnd"/>
      <w:r>
        <w:rPr>
          <w:sz w:val="20"/>
        </w:rPr>
        <w:t xml:space="preserve"> A. Determinantes de la informalidad laboral en Colombia: </w:t>
      </w:r>
      <w:proofErr w:type="gramStart"/>
      <w:r>
        <w:rPr>
          <w:sz w:val="20"/>
        </w:rPr>
        <w:t>un</w:t>
      </w:r>
      <w:proofErr w:type="gramEnd"/>
      <w:r>
        <w:rPr>
          <w:sz w:val="20"/>
        </w:rPr>
        <w:t xml:space="preserve"> análisis desde la oferta laboral. Revista CEA. 2020;6(11):51-68. Disponible en: https://revistas.itm.edu.co/index.php/revista-cea/article/view/1255</w:t>
      </w:r>
    </w:p>
    <w:p w14:paraId="611C945A" w14:textId="11B6E460" w:rsidR="00F943DC" w:rsidRDefault="00182284">
      <w:r>
        <w:rPr>
          <w:sz w:val="20"/>
        </w:rPr>
        <w:t>11</w:t>
      </w:r>
      <w:r w:rsidR="00A40608">
        <w:rPr>
          <w:sz w:val="20"/>
        </w:rPr>
        <w:t>. Sousa LM. Maternidad adolescente y su impacto sobre las trayectorias educativas y laborales de mujeres de sectores populares urbanos de Paraguay. Estudios Demográficos y Urbanos. 2013;28(3):605-637. Disponible en: https://www.scielo.org.mx/scielo.php?script=sci_arttext&amp;pid=S0186-72102013000300003</w:t>
      </w:r>
    </w:p>
    <w:p w14:paraId="713E26C0" w14:textId="2EE988C5" w:rsidR="00F943DC" w:rsidRDefault="00182284">
      <w:r>
        <w:rPr>
          <w:sz w:val="20"/>
        </w:rPr>
        <w:lastRenderedPageBreak/>
        <w:t>13</w:t>
      </w:r>
      <w:r w:rsidR="00A40608">
        <w:rPr>
          <w:sz w:val="20"/>
        </w:rPr>
        <w:t>. Vargas-Trujillo E, Gambara H, Botella J. La (no) deserción escolar. Análisis de estudiantes de 9.° grado en Colombia. Revista Andina de Educación. 2021;4(2):11-19. Disponible en: http://scielo.senescyt.gob.ec/scielo.php?script=sci_arttext&amp;pid=S2631-28162021000300011</w:t>
      </w:r>
    </w:p>
    <w:p w14:paraId="78618EDB" w14:textId="7803D162" w:rsidR="00F943DC" w:rsidRDefault="00182284">
      <w:r>
        <w:rPr>
          <w:sz w:val="20"/>
        </w:rPr>
        <w:t>14</w:t>
      </w:r>
      <w:r w:rsidR="00A40608">
        <w:rPr>
          <w:sz w:val="20"/>
        </w:rPr>
        <w:t>. Álvarez-Marinelli H, Arias E, Bergamaschi A, Pérez A. Covid-19, desigualdades y resiliencia en la educación media colombiana. Perfiles Educativos. 2025;47(187). Disponible en: https://scielo.org.mx/scielo.php?pid=S0188-25032025000100041&amp;script=sci_arttext</w:t>
      </w:r>
    </w:p>
    <w:p w14:paraId="51B2522E" w14:textId="739C4E14" w:rsidR="00F943DC" w:rsidRDefault="00A40608">
      <w:r>
        <w:rPr>
          <w:sz w:val="20"/>
        </w:rPr>
        <w:t>1</w:t>
      </w:r>
      <w:r w:rsidR="00182284">
        <w:rPr>
          <w:sz w:val="20"/>
        </w:rPr>
        <w:t>5</w:t>
      </w:r>
      <w:r>
        <w:rPr>
          <w:sz w:val="20"/>
        </w:rPr>
        <w:t>. Ministerio de Educación Nacional. Deserción escolar en Colombia: análisis, determinantes y política de acogida, bienestar y permanencia. Bogotá: MEN; 2010. Disponible en: https://siteal.iiep.unesco.org/bdnp/4325/desercion-escolar-colombia-analisis-determinantes-politica-acogida-bienestar-permanencia</w:t>
      </w:r>
    </w:p>
    <w:p w14:paraId="41079AD5" w14:textId="4D452192" w:rsidR="00F943DC" w:rsidRDefault="00182284">
      <w:r>
        <w:rPr>
          <w:sz w:val="20"/>
        </w:rPr>
        <w:t>16</w:t>
      </w:r>
      <w:r w:rsidR="00A40608">
        <w:rPr>
          <w:sz w:val="20"/>
        </w:rPr>
        <w:t xml:space="preserve">. Mora-Neira AM, Hernández-Quirama A. Prevalencia de deserción escolar en embarazadas adolescentes de instituciones educativas oficiales </w:t>
      </w:r>
      <w:proofErr w:type="gramStart"/>
      <w:r w:rsidR="00A40608">
        <w:rPr>
          <w:sz w:val="20"/>
        </w:rPr>
        <w:t>del</w:t>
      </w:r>
      <w:proofErr w:type="gramEnd"/>
      <w:r w:rsidR="00A40608">
        <w:rPr>
          <w:sz w:val="20"/>
        </w:rPr>
        <w:t xml:space="preserve"> Valle del Cauca, Colombia, 2006. Colombia Médica. 2011;42(3):303-308. Disponible en: http://www.scielo.org.co/scielo.php?pid=S1657-95342011000300006&amp;script=sci_arttext</w:t>
      </w:r>
    </w:p>
    <w:p w14:paraId="5BCBBB56" w14:textId="6B1F6C48" w:rsidR="00F943DC" w:rsidRDefault="00182284">
      <w:r>
        <w:rPr>
          <w:sz w:val="20"/>
        </w:rPr>
        <w:t>17</w:t>
      </w:r>
      <w:r w:rsidR="00A40608">
        <w:rPr>
          <w:sz w:val="20"/>
        </w:rPr>
        <w:t xml:space="preserve">. Gómez JD, Valencia AM, Saldarriaga LM, Vélez JC, </w:t>
      </w:r>
      <w:proofErr w:type="gramStart"/>
      <w:r w:rsidR="00A40608">
        <w:rPr>
          <w:sz w:val="20"/>
        </w:rPr>
        <w:t>Soto</w:t>
      </w:r>
      <w:proofErr w:type="gramEnd"/>
      <w:r w:rsidR="00A40608">
        <w:rPr>
          <w:sz w:val="20"/>
        </w:rPr>
        <w:t xml:space="preserve"> JA. Deserción escolar de niños y niñas en Colombia en tiempos de pandemia. Telos: Revista de Estudios Interdisciplinarios en Ciencias Sociales. 2022;24(3):628-642. Disponible en: https://dialnet.unirioja.es/descarga/articulo/8586707.pdf</w:t>
      </w:r>
    </w:p>
    <w:p w14:paraId="31DEC9E7" w14:textId="2BC22982" w:rsidR="00F943DC" w:rsidRDefault="00182284">
      <w:r>
        <w:rPr>
          <w:sz w:val="20"/>
        </w:rPr>
        <w:t>18</w:t>
      </w:r>
      <w:r w:rsidR="00A40608">
        <w:rPr>
          <w:sz w:val="20"/>
        </w:rPr>
        <w:t xml:space="preserve">. Secretaría de Educación </w:t>
      </w:r>
      <w:proofErr w:type="gramStart"/>
      <w:r w:rsidR="00A40608">
        <w:rPr>
          <w:sz w:val="20"/>
        </w:rPr>
        <w:t>del</w:t>
      </w:r>
      <w:proofErr w:type="gramEnd"/>
      <w:r w:rsidR="00A40608">
        <w:rPr>
          <w:sz w:val="20"/>
        </w:rPr>
        <w:t xml:space="preserve"> Distrito. Perfil de la localidad de Teusaquillo. Bogotá: SED; 2016. Disponible en: https://www.educacionbogota.edu.co/portal_institucional/sites/default/files/inline-files/13-Perfil_localidad_de_Teusaquillo_2016.pdf</w:t>
      </w:r>
    </w:p>
    <w:p w14:paraId="6922B535" w14:textId="1AB20A64" w:rsidR="00F943DC" w:rsidRDefault="00182284">
      <w:r>
        <w:rPr>
          <w:sz w:val="20"/>
        </w:rPr>
        <w:t>19</w:t>
      </w:r>
      <w:r w:rsidR="00A40608">
        <w:rPr>
          <w:sz w:val="20"/>
        </w:rPr>
        <w:t>. Salcedo-Robledo M, Alvarado-Cepeda G. Asentamiento y segregación residencial en la migración sur-sur: migrantes venezolanos en Bogotá-Colombia. Bitácora Urbano Territorial. 2023;33(2). Disponible en: https://revistas.unal.edu.co/index.php/bitacora/article/view/106141</w:t>
      </w:r>
    </w:p>
    <w:p w14:paraId="738EA3C4" w14:textId="3166B177" w:rsidR="00F943DC" w:rsidRDefault="00182284">
      <w:r>
        <w:rPr>
          <w:sz w:val="20"/>
        </w:rPr>
        <w:t>20</w:t>
      </w:r>
      <w:r w:rsidR="00A40608">
        <w:rPr>
          <w:sz w:val="20"/>
        </w:rPr>
        <w:t>. Banco Mundial. Migración desde Venezuela a Colombia: impactos y estrategia de respuesta del gobierno de Colombia. Washington D.C.: Banco Mundial; 2018. Disponible en: https://documents1.worldbank.org/curated/en/911381540835286885/pdf/131472-WP-SPANISH-PUBLIC-MigracindesdeVenezuelaaColombia.pdf</w:t>
      </w:r>
    </w:p>
    <w:p w14:paraId="3C5E3DCE" w14:textId="70A87B2D" w:rsidR="00F943DC" w:rsidRDefault="00182284">
      <w:r>
        <w:rPr>
          <w:sz w:val="20"/>
        </w:rPr>
        <w:t>21</w:t>
      </w:r>
      <w:r w:rsidR="00A40608">
        <w:rPr>
          <w:sz w:val="20"/>
        </w:rPr>
        <w:t>. Instituto Nacional de Salud (INS). Informe de evento violencia de género e intrafamiliar, 2021. Bogotá: INS; 2022. Disponible en: https://www.ins.gov.co/buscador-eventos/Informesdeevento/VIOLENCIA%20DE%20GENERO%20E%20INTRAFAMILIAR%20INFORME%20FINAL%202021.pdf</w:t>
      </w:r>
    </w:p>
    <w:p w14:paraId="0675E9EC" w14:textId="3D8CDAE1" w:rsidR="00F943DC" w:rsidRDefault="00182284">
      <w:r>
        <w:rPr>
          <w:sz w:val="20"/>
        </w:rPr>
        <w:t>2</w:t>
      </w:r>
      <w:r w:rsidR="00A40608">
        <w:rPr>
          <w:sz w:val="20"/>
        </w:rPr>
        <w:t xml:space="preserve">2. Defensoría </w:t>
      </w:r>
      <w:proofErr w:type="gramStart"/>
      <w:r w:rsidR="00A40608">
        <w:rPr>
          <w:sz w:val="20"/>
        </w:rPr>
        <w:t>del</w:t>
      </w:r>
      <w:proofErr w:type="gramEnd"/>
      <w:r w:rsidR="00A40608">
        <w:rPr>
          <w:sz w:val="20"/>
        </w:rPr>
        <w:t xml:space="preserve"> Pueblo de Colombia. Violencia sexual contra niños, niñas y adolescentes en Colombia: análisis de la respuesta estatal. Bogotá: Defensoría del Pueblo; 2023. Disponible en: https://www.defensoria.gov.co/documents/20123/1657207/Informe_VIolenciaSexualNNA_VF130323_PDF.pdf</w:t>
      </w:r>
    </w:p>
    <w:p w14:paraId="172B425C" w14:textId="7B546B6B" w:rsidR="00F943DC" w:rsidRPr="006012C2" w:rsidRDefault="00182284">
      <w:pPr>
        <w:rPr>
          <w:color w:val="FF0000"/>
        </w:rPr>
      </w:pPr>
      <w:r>
        <w:rPr>
          <w:sz w:val="20"/>
        </w:rPr>
        <w:t>23</w:t>
      </w:r>
      <w:r w:rsidR="00A40608">
        <w:rPr>
          <w:sz w:val="20"/>
        </w:rPr>
        <w:t>. Chaparro-Narváez P, Díaz-Jiménez D, Castañeda-Orjuela C. Violencia intrafamiliar en Colombia en los últimos doce años. Biomédica. 2023;43(1):154-165. Disponible en: http://www.scielo.org.co/scielo.php?script=sci_arttext&amp;pid=S1657-80312023000100154</w:t>
      </w:r>
      <w:bookmarkStart w:id="22" w:name="_GoBack"/>
      <w:bookmarkEnd w:id="22"/>
    </w:p>
    <w:sectPr w:rsidR="00F943DC" w:rsidRPr="006012C2" w:rsidSect="00034616">
      <w:pgSz w:w="12240" w:h="15840"/>
      <w:pgMar w:top="1440" w:right="1800" w:bottom="1440" w:left="1800" w:header="720" w:footer="720" w:gutter="0"/>
      <w:cols w:space="720"/>
      <w:docGrid w:linePitch="36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0" w:author="Cuenta Microsoft" w:date="2026-06-03T15:53:00Z" w:initials="CM">
    <w:p w14:paraId="5C4B8E4F" w14:textId="77777777" w:rsidR="007E3C23" w:rsidRDefault="007E3C23" w:rsidP="007E3C23">
      <w:pPr>
        <w:spacing w:after="120" w:line="300" w:lineRule="exact"/>
        <w:ind w:left="360" w:hanging="360"/>
        <w:jc w:val="both"/>
      </w:pPr>
      <w:r>
        <w:rPr>
          <w:rStyle w:val="Refdecomentario"/>
        </w:rPr>
        <w:annotationRef/>
      </w:r>
      <w:hyperlink r:id="rId1">
        <w:r>
          <w:t>https://www.eure.cl/index.php/eure/article/view/1258</w:t>
        </w:r>
      </w:hyperlink>
    </w:p>
    <w:p w14:paraId="599F58D2" w14:textId="77777777" w:rsidR="007E3C23" w:rsidRDefault="007E3C23" w:rsidP="007E3C23">
      <w:pPr>
        <w:spacing w:after="120" w:line="300" w:lineRule="exact"/>
        <w:ind w:left="360" w:hanging="360"/>
        <w:jc w:val="both"/>
      </w:pPr>
    </w:p>
    <w:p w14:paraId="511F4E40" w14:textId="77777777" w:rsidR="007E3C23" w:rsidRDefault="007E3C23" w:rsidP="007E3C23">
      <w:pPr>
        <w:pStyle w:val="Textocomentario"/>
      </w:pPr>
    </w:p>
  </w:comment>
  <w:comment w:id="1" w:author="Cuenta Microsoft" w:date="2026-06-03T15:58:00Z" w:initials="CM">
    <w:p w14:paraId="3909BE8C" w14:textId="77777777" w:rsidR="007E3C23" w:rsidRDefault="007E3C23" w:rsidP="007E3C23">
      <w:pPr>
        <w:pStyle w:val="Textocomentario"/>
      </w:pPr>
      <w:r>
        <w:rPr>
          <w:rStyle w:val="Refdecomentario"/>
        </w:rPr>
        <w:annotationRef/>
      </w:r>
      <w:hyperlink r:id="rId2">
        <w:r>
          <w:rPr>
            <w:sz w:val="22"/>
          </w:rPr>
          <w:t>https://www.sdp.gov.co/transparencia/informacion-interes/publicaciones/estudios/039-segregacion-socioespacial-bogota</w:t>
        </w:r>
      </w:hyperlink>
    </w:p>
  </w:comment>
  <w:comment w:id="2" w:author="Cuenta Microsoft" w:date="2026-06-03T16:25:00Z" w:initials="CM">
    <w:p w14:paraId="45DFDDC5" w14:textId="77777777" w:rsidR="007E3C23" w:rsidRDefault="007E3C23" w:rsidP="007E3C23">
      <w:pPr>
        <w:pStyle w:val="Textocomentario"/>
      </w:pPr>
      <w:r>
        <w:rPr>
          <w:rStyle w:val="Refdecomentario"/>
        </w:rPr>
        <w:annotationRef/>
      </w:r>
      <w:hyperlink r:id="rId3">
        <w:r>
          <w:rPr>
            <w:sz w:val="22"/>
          </w:rPr>
          <w:t>https://www.cepal.org/sites/default/files/events/files/florez_soto.pdf</w:t>
        </w:r>
      </w:hyperlink>
    </w:p>
  </w:comment>
  <w:comment w:id="3" w:author="Cuenta Microsoft" w:date="2026-06-03T16:26:00Z" w:initials="CM">
    <w:p w14:paraId="384BB166" w14:textId="77777777" w:rsidR="007E3C23" w:rsidRDefault="007E3C23" w:rsidP="007E3C23">
      <w:pPr>
        <w:pStyle w:val="Textocomentario"/>
      </w:pPr>
      <w:r>
        <w:rPr>
          <w:rStyle w:val="Refdecomentario"/>
        </w:rPr>
        <w:annotationRef/>
      </w:r>
      <w:hyperlink r:id="rId4">
        <w:r>
          <w:rPr>
            <w:sz w:val="22"/>
          </w:rPr>
          <w:t>https://www.paho.org/es/documentos/acelerar-progreso-hacia-reduccion-embarazo-adolescencia-america-latina-caribe</w:t>
        </w:r>
      </w:hyperlink>
    </w:p>
  </w:comment>
  <w:comment w:id="4" w:author="Cuenta Microsoft" w:date="2026-06-03T16:59:00Z" w:initials="CM">
    <w:p w14:paraId="4AE15FEF" w14:textId="77777777" w:rsidR="007E3C23" w:rsidRDefault="007E3C23" w:rsidP="007E3C23">
      <w:pPr>
        <w:pStyle w:val="Textocomentario"/>
      </w:pPr>
      <w:r>
        <w:rPr>
          <w:rStyle w:val="Refdecomentario"/>
        </w:rPr>
        <w:annotationRef/>
      </w:r>
      <w:hyperlink r:id="rId5">
        <w:r>
          <w:rPr>
            <w:sz w:val="22"/>
          </w:rPr>
          <w:t>https://habitat3.org/wp-content/uploads/Issue-Paper-11_Public_Space-SP.pdf</w:t>
        </w:r>
      </w:hyperlink>
    </w:p>
  </w:comment>
  <w:comment w:id="5" w:author="Cuenta Microsoft" w:date="2026-06-03T22:06:00Z" w:initials="CM">
    <w:p w14:paraId="64C9FB7B" w14:textId="1876DEA9" w:rsidR="00A40608" w:rsidRDefault="00A40608">
      <w:pPr>
        <w:pStyle w:val="Textocomentario"/>
      </w:pPr>
      <w:r>
        <w:rPr>
          <w:rStyle w:val="Refdecomentario"/>
        </w:rPr>
        <w:annotationRef/>
      </w:r>
      <w:hyperlink r:id="rId6">
        <w:r>
          <w:rPr>
            <w:sz w:val="22"/>
          </w:rPr>
          <w:t>https://habitat3.org/wp-content/uploads/Issue-Paper-11_Public_Space-SP.pdf</w:t>
        </w:r>
      </w:hyperlink>
    </w:p>
  </w:comment>
  <w:comment w:id="6" w:author="Cuenta Microsoft" w:date="2026-06-03T17:15:00Z" w:initials="CM">
    <w:p w14:paraId="2348B5F0" w14:textId="77777777" w:rsidR="007E3C23" w:rsidRDefault="007E3C23" w:rsidP="007E3C23">
      <w:pPr>
        <w:pStyle w:val="Textocomentario"/>
      </w:pPr>
      <w:r>
        <w:rPr>
          <w:rStyle w:val="Refdecomentario"/>
        </w:rPr>
        <w:annotationRef/>
      </w:r>
      <w:r w:rsidRPr="0074374A">
        <w:t>https://www.researchgate.net/publication/328999616_Calidad_de_vida_y_acceso_inequitativo_al_espacio_publico_en_Bogota</w:t>
      </w:r>
    </w:p>
  </w:comment>
  <w:comment w:id="7" w:author="Cuenta Microsoft" w:date="2026-06-03T22:09:00Z" w:initials="CM">
    <w:p w14:paraId="5576837E" w14:textId="77777777" w:rsidR="00A40608" w:rsidRDefault="00A40608" w:rsidP="00A40608">
      <w:pPr>
        <w:pStyle w:val="Textocomentario"/>
      </w:pPr>
      <w:r>
        <w:rPr>
          <w:rStyle w:val="Refdecomentario"/>
        </w:rPr>
        <w:annotationRef/>
      </w:r>
      <w:r>
        <w:rPr>
          <w:rStyle w:val="Refdecomentario"/>
        </w:rPr>
        <w:annotationRef/>
      </w:r>
      <w:hyperlink r:id="rId7">
        <w:r>
          <w:rPr>
            <w:sz w:val="22"/>
          </w:rPr>
          <w:t>https://ideas.repec.org/p/idb/brikps/6789.html</w:t>
        </w:r>
      </w:hyperlink>
    </w:p>
    <w:p w14:paraId="6C10DC88" w14:textId="5DE92D2A" w:rsidR="00A40608" w:rsidRDefault="00A40608">
      <w:pPr>
        <w:pStyle w:val="Textocomentario"/>
      </w:pPr>
    </w:p>
  </w:comment>
  <w:comment w:id="8" w:author="Cuenta Microsoft" w:date="2026-06-03T22:12:00Z" w:initials="CM">
    <w:p w14:paraId="1199D5A7" w14:textId="627194D5" w:rsidR="00A40608" w:rsidRDefault="00A40608">
      <w:pPr>
        <w:pStyle w:val="Textocomentario"/>
      </w:pPr>
      <w:r>
        <w:rPr>
          <w:rStyle w:val="Refdecomentario"/>
        </w:rPr>
        <w:annotationRef/>
      </w:r>
      <w:hyperlink r:id="rId8">
        <w:r>
          <w:rPr>
            <w:sz w:val="22"/>
          </w:rPr>
          <w:t>http://www.scielo.org.co/scielo.php?script=sci_arttext&amp;pid=S0120-63462020000200285</w:t>
        </w:r>
      </w:hyperlink>
    </w:p>
  </w:comment>
  <w:comment w:id="9" w:author="Cuenta Microsoft" w:date="2026-06-04T00:09:00Z" w:initials="CM">
    <w:p w14:paraId="7E6ABD79" w14:textId="0BFB5338" w:rsidR="00272116" w:rsidRDefault="00272116">
      <w:pPr>
        <w:pStyle w:val="Textocomentario"/>
      </w:pPr>
      <w:r>
        <w:rPr>
          <w:rStyle w:val="Refdecomentario"/>
        </w:rPr>
        <w:annotationRef/>
      </w:r>
      <w:r>
        <w:t>https://revistas.itm.edu.co/index.php/revista-cea/article/view/1255</w:t>
      </w:r>
    </w:p>
  </w:comment>
  <w:comment w:id="10" w:author="Cuenta Microsoft" w:date="2026-06-04T00:21:00Z" w:initials="CM">
    <w:p w14:paraId="076ABB55" w14:textId="609FB787" w:rsidR="006012C2" w:rsidRDefault="006012C2">
      <w:pPr>
        <w:pStyle w:val="Textocomentario"/>
      </w:pPr>
      <w:r>
        <w:rPr>
          <w:rStyle w:val="Refdecomentario"/>
        </w:rPr>
        <w:annotationRef/>
      </w:r>
      <w:r>
        <w:t>https://www.scielo.org.mx/scielo.php?script=sci_arttext&amp;pid=S0186-72102013000300003</w:t>
      </w:r>
    </w:p>
  </w:comment>
  <w:comment w:id="11" w:author="Cuenta Microsoft" w:date="2026-06-04T00:09:00Z" w:initials="CM">
    <w:p w14:paraId="43B4323B" w14:textId="0577A007" w:rsidR="00272116" w:rsidRDefault="00272116">
      <w:pPr>
        <w:pStyle w:val="Textocomentario"/>
      </w:pPr>
      <w:r>
        <w:rPr>
          <w:rStyle w:val="Refdecomentario"/>
        </w:rPr>
        <w:annotationRef/>
      </w:r>
      <w:r>
        <w:t>http://scielo.senescyt.gob.ec/scielo.php?script=sci_arttext&amp;pid=S2631-28162021000300011</w:t>
      </w:r>
    </w:p>
  </w:comment>
  <w:comment w:id="12" w:author="Cuenta Microsoft" w:date="2026-06-04T00:09:00Z" w:initials="CM">
    <w:p w14:paraId="5942D707" w14:textId="47CD215F" w:rsidR="00272116" w:rsidRDefault="00272116">
      <w:pPr>
        <w:pStyle w:val="Textocomentario"/>
      </w:pPr>
      <w:r>
        <w:rPr>
          <w:rStyle w:val="Refdecomentario"/>
        </w:rPr>
        <w:annotationRef/>
      </w:r>
      <w:r>
        <w:t>https://scielo.org.mx/scielo.php?pid=S0188-25032025000100041&amp;script=sci_arttext</w:t>
      </w:r>
    </w:p>
  </w:comment>
  <w:comment w:id="13" w:author="Cuenta Microsoft" w:date="2026-06-04T00:09:00Z" w:initials="CM">
    <w:p w14:paraId="238612C1" w14:textId="65CC9638" w:rsidR="00272116" w:rsidRDefault="00272116">
      <w:pPr>
        <w:pStyle w:val="Textocomentario"/>
      </w:pPr>
      <w:r>
        <w:rPr>
          <w:rStyle w:val="Refdecomentario"/>
        </w:rPr>
        <w:annotationRef/>
      </w:r>
      <w:r>
        <w:t>https://siteal.iiep.unesco.org/bdnp/4325/desercion-escolar-colombia-analisis-determinantes-politica-acogida-bienestar-permanencia</w:t>
      </w:r>
    </w:p>
  </w:comment>
  <w:comment w:id="14" w:author="Cuenta Microsoft" w:date="2026-06-04T00:10:00Z" w:initials="CM">
    <w:p w14:paraId="626B227A" w14:textId="53D9492C" w:rsidR="00272116" w:rsidRDefault="00272116">
      <w:pPr>
        <w:pStyle w:val="Textocomentario"/>
      </w:pPr>
      <w:r>
        <w:rPr>
          <w:rStyle w:val="Refdecomentario"/>
        </w:rPr>
        <w:annotationRef/>
      </w:r>
      <w:r>
        <w:t>http://www.scielo.org.co/scielo.php?pid=S1657-95342011000300006&amp;script=sci_arttext</w:t>
      </w:r>
    </w:p>
  </w:comment>
  <w:comment w:id="15" w:author="Cuenta Microsoft" w:date="2026-06-04T00:10:00Z" w:initials="CM">
    <w:p w14:paraId="51D8FD1E" w14:textId="766B60F4" w:rsidR="00272116" w:rsidRDefault="00272116">
      <w:pPr>
        <w:pStyle w:val="Textocomentario"/>
      </w:pPr>
      <w:r>
        <w:rPr>
          <w:rStyle w:val="Refdecomentario"/>
        </w:rPr>
        <w:annotationRef/>
      </w:r>
      <w:r>
        <w:t>https://dialnet.unirioja.es/descarga/articulo/8586707.pdf</w:t>
      </w:r>
    </w:p>
  </w:comment>
  <w:comment w:id="16" w:author="Cuenta Microsoft" w:date="2026-06-04T00:10:00Z" w:initials="CM">
    <w:p w14:paraId="2D4DB3A3" w14:textId="3770198B" w:rsidR="002276A3" w:rsidRDefault="002276A3">
      <w:pPr>
        <w:pStyle w:val="Textocomentario"/>
      </w:pPr>
      <w:r>
        <w:rPr>
          <w:rStyle w:val="Refdecomentario"/>
        </w:rPr>
        <w:annotationRef/>
      </w:r>
      <w:r>
        <w:t>https://www.educacionbogota.edu.co/portal_institucional/sites/default/files/inline-files/13-Perfil_localidad_de_Teusaquillo_2016.pdf</w:t>
      </w:r>
    </w:p>
  </w:comment>
  <w:comment w:id="17" w:author="Cuenta Microsoft" w:date="2026-06-04T00:10:00Z" w:initials="CM">
    <w:p w14:paraId="6290BD1D" w14:textId="56B58E48" w:rsidR="002276A3" w:rsidRDefault="002276A3">
      <w:pPr>
        <w:pStyle w:val="Textocomentario"/>
      </w:pPr>
      <w:r>
        <w:rPr>
          <w:rStyle w:val="Refdecomentario"/>
        </w:rPr>
        <w:annotationRef/>
      </w:r>
      <w:r>
        <w:t>https://revistas.unal.edu.co/index.php/bitacora/article/view/106141</w:t>
      </w:r>
    </w:p>
  </w:comment>
  <w:comment w:id="18" w:author="Cuenta Microsoft" w:date="2026-06-04T00:11:00Z" w:initials="CM">
    <w:p w14:paraId="3702ACD8" w14:textId="6AA9D351" w:rsidR="002276A3" w:rsidRDefault="002276A3">
      <w:pPr>
        <w:pStyle w:val="Textocomentario"/>
      </w:pPr>
      <w:r>
        <w:rPr>
          <w:rStyle w:val="Refdecomentario"/>
        </w:rPr>
        <w:annotationRef/>
      </w:r>
      <w:r>
        <w:t>https://documents1.worldbank.org/curated/en/911381540835286885/pdf/131472-WP-SPANISH-PUBLIC-MigracindesdeVenezuelaaColombia.pdf</w:t>
      </w:r>
    </w:p>
  </w:comment>
  <w:comment w:id="19" w:author="Cuenta Microsoft" w:date="2026-06-04T00:12:00Z" w:initials="CM">
    <w:p w14:paraId="101CB1C1" w14:textId="016534A3" w:rsidR="002276A3" w:rsidRDefault="002276A3">
      <w:pPr>
        <w:pStyle w:val="Textocomentario"/>
      </w:pPr>
      <w:r>
        <w:rPr>
          <w:rStyle w:val="Refdecomentario"/>
        </w:rPr>
        <w:annotationRef/>
      </w:r>
      <w:r>
        <w:t>https://www.ins.gov.co/buscador-eventos/Informesdeevento/VIOLENCIA%20DE%20GENERO%20E%20INTRAFAMILIAR%20INFORME%20FINAL%202021.pdf</w:t>
      </w:r>
    </w:p>
  </w:comment>
  <w:comment w:id="20" w:author="Cuenta Microsoft" w:date="2026-06-04T00:12:00Z" w:initials="CM">
    <w:p w14:paraId="22A10332" w14:textId="4FF40500" w:rsidR="002276A3" w:rsidRDefault="002276A3">
      <w:pPr>
        <w:pStyle w:val="Textocomentario"/>
      </w:pPr>
      <w:r>
        <w:rPr>
          <w:rStyle w:val="Refdecomentario"/>
        </w:rPr>
        <w:annotationRef/>
      </w:r>
      <w:r>
        <w:t>https://www.defensoria.gov.co/documents/20123/1657207/Informe_VIolenciaSexualNNA_VF130323_PDF.pdf</w:t>
      </w:r>
    </w:p>
  </w:comment>
  <w:comment w:id="21" w:author="Cuenta Microsoft" w:date="2026-06-04T00:12:00Z" w:initials="CM">
    <w:p w14:paraId="5F70B5ED" w14:textId="2368E2D7" w:rsidR="002276A3" w:rsidRDefault="002276A3">
      <w:pPr>
        <w:pStyle w:val="Textocomentario"/>
      </w:pPr>
      <w:r>
        <w:rPr>
          <w:rStyle w:val="Refdecomentario"/>
        </w:rPr>
        <w:annotationRef/>
      </w:r>
      <w:r>
        <w:t>http://www.scielo.org.co/scielo.php?script=sci_arttext&amp;pid=S1657-80312023000100154</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511F4E40" w15:done="0"/>
  <w15:commentEx w15:paraId="3909BE8C" w15:done="0"/>
  <w15:commentEx w15:paraId="45DFDDC5" w15:done="0"/>
  <w15:commentEx w15:paraId="384BB166" w15:done="0"/>
  <w15:commentEx w15:paraId="4AE15FEF" w15:done="0"/>
  <w15:commentEx w15:paraId="64C9FB7B" w15:done="0"/>
  <w15:commentEx w15:paraId="2348B5F0" w15:done="0"/>
  <w15:commentEx w15:paraId="6C10DC88" w15:done="0"/>
  <w15:commentEx w15:paraId="1199D5A7" w15:done="0"/>
  <w15:commentEx w15:paraId="7E6ABD79" w15:done="0"/>
  <w15:commentEx w15:paraId="076ABB55" w15:done="0"/>
  <w15:commentEx w15:paraId="43B4323B" w15:done="0"/>
  <w15:commentEx w15:paraId="5942D707" w15:done="0"/>
  <w15:commentEx w15:paraId="238612C1" w15:done="0"/>
  <w15:commentEx w15:paraId="626B227A" w15:done="0"/>
  <w15:commentEx w15:paraId="51D8FD1E" w15:done="0"/>
  <w15:commentEx w15:paraId="2D4DB3A3" w15:done="0"/>
  <w15:commentEx w15:paraId="6290BD1D" w15:done="0"/>
  <w15:commentEx w15:paraId="3702ACD8" w15:done="0"/>
  <w15:commentEx w15:paraId="101CB1C1" w15:done="0"/>
  <w15:commentEx w15:paraId="22A10332" w15:done="0"/>
  <w15:commentEx w15:paraId="5F70B5ED" w15:done="0"/>
</w15:commentsEx>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notTrueType/>
    <w:pitch w:val="fixed"/>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aconnmeros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aconnmeros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aconvietas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aconvietas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aconnmeros"/>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aconvietas"/>
      <w:lvlText w:val=""/>
      <w:lvlJc w:val="left"/>
      <w:pPr>
        <w:tabs>
          <w:tab w:val="num" w:pos="360"/>
        </w:tabs>
        <w:ind w:left="360" w:hanging="360"/>
      </w:pPr>
      <w:rPr>
        <w:rFonts w:ascii="Symbol" w:hAnsi="Symbol" w:hint="default"/>
      </w:rPr>
    </w:lvl>
  </w:abstractNum>
  <w:num w:numId="1">
    <w:abstractNumId w:val="8"/>
  </w:num>
  <w:num w:numId="2">
    <w:abstractNumId w:val="6"/>
  </w:num>
  <w:num w:numId="3">
    <w:abstractNumId w:val="5"/>
  </w:num>
  <w:num w:numId="4">
    <w:abstractNumId w:val="4"/>
  </w:num>
  <w:num w:numId="5">
    <w:abstractNumId w:val="7"/>
  </w:num>
  <w:num w:numId="6">
    <w:abstractNumId w:val="3"/>
  </w:num>
  <w:num w:numId="7">
    <w:abstractNumId w:val="2"/>
  </w:num>
  <w:num w:numId="8">
    <w:abstractNumId w:val="1"/>
  </w:num>
  <w:num w:numId="9">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uenta Microsoft">
    <w15:presenceInfo w15:providerId="Windows Live" w15:userId="fb7bb37894233b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proofState w:spelling="clean" w:grammar="clean"/>
  <w:defaultTabStop w:val="720"/>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34616"/>
    <w:rsid w:val="00056980"/>
    <w:rsid w:val="0006063C"/>
    <w:rsid w:val="000652AF"/>
    <w:rsid w:val="0015074B"/>
    <w:rsid w:val="00182284"/>
    <w:rsid w:val="001F7697"/>
    <w:rsid w:val="0022410E"/>
    <w:rsid w:val="002276A3"/>
    <w:rsid w:val="002521FA"/>
    <w:rsid w:val="00272116"/>
    <w:rsid w:val="0029639D"/>
    <w:rsid w:val="002A1F9B"/>
    <w:rsid w:val="003207D0"/>
    <w:rsid w:val="00326F90"/>
    <w:rsid w:val="003B5D0C"/>
    <w:rsid w:val="00432841"/>
    <w:rsid w:val="00477F8B"/>
    <w:rsid w:val="0056275B"/>
    <w:rsid w:val="00567DCF"/>
    <w:rsid w:val="006012C2"/>
    <w:rsid w:val="007E3C23"/>
    <w:rsid w:val="00915A14"/>
    <w:rsid w:val="009B57CE"/>
    <w:rsid w:val="00A40608"/>
    <w:rsid w:val="00AA1D8D"/>
    <w:rsid w:val="00AD1673"/>
    <w:rsid w:val="00AE66F3"/>
    <w:rsid w:val="00B47730"/>
    <w:rsid w:val="00C369D1"/>
    <w:rsid w:val="00CB0664"/>
    <w:rsid w:val="00EB7F40"/>
    <w:rsid w:val="00EE0C32"/>
    <w:rsid w:val="00F943DC"/>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1FF04767"/>
  <w14:defaultImageDpi w14:val="300"/>
  <w15:docId w15:val="{B42B6F7F-8A20-4387-A3A6-59510AD42C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C693F"/>
    <w:rPr>
      <w:rFonts w:ascii="Arial" w:hAnsi="Arial"/>
    </w:rPr>
  </w:style>
  <w:style w:type="paragraph" w:styleId="Ttulo1">
    <w:name w:val="heading 1"/>
    <w:basedOn w:val="Normal"/>
    <w:next w:val="Normal"/>
    <w:link w:val="Ttulo1Car"/>
    <w:uiPriority w:val="9"/>
    <w:qFormat/>
    <w:rsid w:val="00FC693F"/>
    <w:pPr>
      <w:keepNext/>
      <w:keepLines/>
      <w:spacing w:before="480" w:after="0"/>
      <w:outlineLvl w:val="0"/>
    </w:pPr>
    <w:rPr>
      <w:rFonts w:asciiTheme="majorHAnsi" w:eastAsiaTheme="majorEastAsia" w:hAnsiTheme="majorHAnsi" w:cstheme="majorBidi"/>
      <w:b/>
      <w:bCs/>
      <w:color w:val="000000"/>
      <w:sz w:val="28"/>
      <w:szCs w:val="28"/>
    </w:rPr>
  </w:style>
  <w:style w:type="paragraph" w:styleId="Ttulo2">
    <w:name w:val="heading 2"/>
    <w:basedOn w:val="Normal"/>
    <w:next w:val="Normal"/>
    <w:link w:val="Ttulo2Car"/>
    <w:uiPriority w:val="9"/>
    <w:unhideWhenUsed/>
    <w:qFormat/>
    <w:rsid w:val="00FC693F"/>
    <w:pPr>
      <w:keepNext/>
      <w:keepLines/>
      <w:spacing w:before="200" w:after="0"/>
      <w:outlineLvl w:val="1"/>
    </w:pPr>
    <w:rPr>
      <w:rFonts w:asciiTheme="majorHAnsi" w:eastAsiaTheme="majorEastAsia" w:hAnsiTheme="majorHAnsi" w:cstheme="majorBidi"/>
      <w:b/>
      <w:bCs/>
      <w:color w:val="000000"/>
      <w:sz w:val="26"/>
      <w:szCs w:val="26"/>
    </w:rPr>
  </w:style>
  <w:style w:type="paragraph" w:styleId="Ttulo3">
    <w:name w:val="heading 3"/>
    <w:basedOn w:val="Normal"/>
    <w:next w:val="Normal"/>
    <w:link w:val="Ttulo3Car"/>
    <w:uiPriority w:val="9"/>
    <w:unhideWhenUsed/>
    <w:qFormat/>
    <w:rsid w:val="00FC693F"/>
    <w:pPr>
      <w:keepNext/>
      <w:keepLines/>
      <w:spacing w:before="200" w:after="0"/>
      <w:outlineLvl w:val="2"/>
    </w:pPr>
    <w:rPr>
      <w:rFonts w:asciiTheme="majorHAnsi" w:eastAsiaTheme="majorEastAsia" w:hAnsiTheme="majorHAnsi" w:cstheme="majorBidi"/>
      <w:b/>
      <w:bCs/>
      <w:color w:val="000000"/>
      <w:sz w:val="24"/>
    </w:rPr>
  </w:style>
  <w:style w:type="paragraph" w:styleId="Ttulo4">
    <w:name w:val="heading 4"/>
    <w:basedOn w:val="Normal"/>
    <w:next w:val="Normal"/>
    <w:link w:val="Ttulo4C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000000"/>
    </w:rPr>
  </w:style>
  <w:style w:type="paragraph" w:styleId="Ttulo5">
    <w:name w:val="heading 5"/>
    <w:basedOn w:val="Normal"/>
    <w:next w:val="Normal"/>
    <w:link w:val="Ttulo5C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Ttulo9">
    <w:name w:val="heading 9"/>
    <w:basedOn w:val="Normal"/>
    <w:next w:val="Normal"/>
    <w:link w:val="Ttulo9C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8BF"/>
    <w:pPr>
      <w:tabs>
        <w:tab w:val="center" w:pos="4680"/>
        <w:tab w:val="right" w:pos="9360"/>
      </w:tabs>
      <w:spacing w:after="0" w:line="240" w:lineRule="auto"/>
    </w:pPr>
  </w:style>
  <w:style w:type="character" w:customStyle="1" w:styleId="EncabezadoCar">
    <w:name w:val="Encabezado Car"/>
    <w:basedOn w:val="Fuentedeprrafopredeter"/>
    <w:link w:val="Encabezado"/>
    <w:uiPriority w:val="99"/>
    <w:rsid w:val="00E618BF"/>
  </w:style>
  <w:style w:type="paragraph" w:styleId="Piedepgina">
    <w:name w:val="footer"/>
    <w:basedOn w:val="Normal"/>
    <w:link w:val="PiedepginaCar"/>
    <w:uiPriority w:val="99"/>
    <w:unhideWhenUsed/>
    <w:rsid w:val="00E618BF"/>
    <w:pPr>
      <w:tabs>
        <w:tab w:val="center" w:pos="4680"/>
        <w:tab w:val="right" w:pos="9360"/>
      </w:tabs>
      <w:spacing w:after="0" w:line="240" w:lineRule="auto"/>
    </w:pPr>
  </w:style>
  <w:style w:type="character" w:customStyle="1" w:styleId="PiedepginaCar">
    <w:name w:val="Pie de página Car"/>
    <w:basedOn w:val="Fuentedeprrafopredeter"/>
    <w:link w:val="Piedepgina"/>
    <w:uiPriority w:val="99"/>
    <w:rsid w:val="00E618BF"/>
  </w:style>
  <w:style w:type="paragraph" w:styleId="Sinespaciado">
    <w:name w:val="No Spacing"/>
    <w:uiPriority w:val="1"/>
    <w:qFormat/>
    <w:rsid w:val="00FC693F"/>
    <w:pPr>
      <w:spacing w:after="0" w:line="240" w:lineRule="auto"/>
    </w:pPr>
  </w:style>
  <w:style w:type="character" w:customStyle="1" w:styleId="Ttulo1Car">
    <w:name w:val="Título 1 Car"/>
    <w:basedOn w:val="Fuentedeprrafopredeter"/>
    <w:link w:val="Ttulo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C693F"/>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C693F"/>
    <w:rPr>
      <w:rFonts w:asciiTheme="majorHAnsi" w:eastAsiaTheme="majorEastAsia" w:hAnsiTheme="majorHAnsi" w:cstheme="majorBidi"/>
      <w:b/>
      <w:bCs/>
      <w:color w:val="4F81BD" w:themeColor="accent1"/>
    </w:rPr>
  </w:style>
  <w:style w:type="paragraph" w:styleId="Puesto">
    <w:name w:val="Title"/>
    <w:basedOn w:val="Normal"/>
    <w:next w:val="Normal"/>
    <w:link w:val="PuestoC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PuestoCar">
    <w:name w:val="Puesto Car"/>
    <w:basedOn w:val="Fuentedeprrafopredeter"/>
    <w:link w:val="Puesto"/>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tulo">
    <w:name w:val="Subtitle"/>
    <w:basedOn w:val="Normal"/>
    <w:next w:val="Normal"/>
    <w:link w:val="SubttuloC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tuloCar">
    <w:name w:val="Subtítulo Car"/>
    <w:basedOn w:val="Fuentedeprrafopredeter"/>
    <w:link w:val="Subttulo"/>
    <w:uiPriority w:val="11"/>
    <w:rsid w:val="00FC693F"/>
    <w:rPr>
      <w:rFonts w:asciiTheme="majorHAnsi" w:eastAsiaTheme="majorEastAsia" w:hAnsiTheme="majorHAnsi" w:cstheme="majorBidi"/>
      <w:i/>
      <w:iCs/>
      <w:color w:val="4F81BD" w:themeColor="accent1"/>
      <w:spacing w:val="15"/>
      <w:sz w:val="24"/>
      <w:szCs w:val="24"/>
    </w:rPr>
  </w:style>
  <w:style w:type="paragraph" w:styleId="Prrafodelista">
    <w:name w:val="List Paragraph"/>
    <w:basedOn w:val="Normal"/>
    <w:uiPriority w:val="34"/>
    <w:qFormat/>
    <w:rsid w:val="00FC693F"/>
    <w:pPr>
      <w:ind w:left="720"/>
      <w:contextualSpacing/>
    </w:pPr>
  </w:style>
  <w:style w:type="paragraph" w:styleId="Textoindependiente">
    <w:name w:val="Body Text"/>
    <w:basedOn w:val="Normal"/>
    <w:link w:val="TextoindependienteCar"/>
    <w:uiPriority w:val="99"/>
    <w:unhideWhenUsed/>
    <w:rsid w:val="00AA1D8D"/>
    <w:pPr>
      <w:spacing w:after="120"/>
    </w:pPr>
  </w:style>
  <w:style w:type="character" w:customStyle="1" w:styleId="TextoindependienteCar">
    <w:name w:val="Texto independiente Car"/>
    <w:basedOn w:val="Fuentedeprrafopredeter"/>
    <w:link w:val="Textoindependiente"/>
    <w:uiPriority w:val="99"/>
    <w:rsid w:val="00AA1D8D"/>
  </w:style>
  <w:style w:type="paragraph" w:styleId="Textoindependiente2">
    <w:name w:val="Body Text 2"/>
    <w:basedOn w:val="Normal"/>
    <w:link w:val="Textoindependiente2Car"/>
    <w:uiPriority w:val="99"/>
    <w:unhideWhenUsed/>
    <w:rsid w:val="00AA1D8D"/>
    <w:pPr>
      <w:spacing w:after="120" w:line="480" w:lineRule="auto"/>
    </w:pPr>
  </w:style>
  <w:style w:type="character" w:customStyle="1" w:styleId="Textoindependiente2Car">
    <w:name w:val="Texto independiente 2 Car"/>
    <w:basedOn w:val="Fuentedeprrafopredeter"/>
    <w:link w:val="Textoindependiente2"/>
    <w:uiPriority w:val="99"/>
    <w:rsid w:val="00AA1D8D"/>
  </w:style>
  <w:style w:type="paragraph" w:styleId="Textoindependiente3">
    <w:name w:val="Body Text 3"/>
    <w:basedOn w:val="Normal"/>
    <w:link w:val="Textoindependiente3Car"/>
    <w:uiPriority w:val="99"/>
    <w:unhideWhenUsed/>
    <w:rsid w:val="00AA1D8D"/>
    <w:pPr>
      <w:spacing w:after="120"/>
    </w:pPr>
    <w:rPr>
      <w:sz w:val="16"/>
      <w:szCs w:val="16"/>
    </w:rPr>
  </w:style>
  <w:style w:type="character" w:customStyle="1" w:styleId="Textoindependiente3Car">
    <w:name w:val="Texto independiente 3 Car"/>
    <w:basedOn w:val="Fuentedeprrafopredeter"/>
    <w:link w:val="Textoindependiente3"/>
    <w:uiPriority w:val="99"/>
    <w:rsid w:val="00AA1D8D"/>
    <w:rPr>
      <w:sz w:val="16"/>
      <w:szCs w:val="16"/>
    </w:rPr>
  </w:style>
  <w:style w:type="paragraph" w:styleId="Lista">
    <w:name w:val="List"/>
    <w:basedOn w:val="Normal"/>
    <w:uiPriority w:val="99"/>
    <w:unhideWhenUsed/>
    <w:rsid w:val="00AA1D8D"/>
    <w:pPr>
      <w:ind w:left="360" w:hanging="360"/>
      <w:contextualSpacing/>
    </w:pPr>
  </w:style>
  <w:style w:type="paragraph" w:styleId="Lista2">
    <w:name w:val="List 2"/>
    <w:basedOn w:val="Normal"/>
    <w:uiPriority w:val="99"/>
    <w:unhideWhenUsed/>
    <w:rsid w:val="00326F90"/>
    <w:pPr>
      <w:ind w:left="720" w:hanging="360"/>
      <w:contextualSpacing/>
    </w:pPr>
  </w:style>
  <w:style w:type="paragraph" w:styleId="Lista3">
    <w:name w:val="List 3"/>
    <w:basedOn w:val="Normal"/>
    <w:uiPriority w:val="99"/>
    <w:unhideWhenUsed/>
    <w:rsid w:val="00326F90"/>
    <w:pPr>
      <w:ind w:left="1080" w:hanging="360"/>
      <w:contextualSpacing/>
    </w:pPr>
  </w:style>
  <w:style w:type="paragraph" w:styleId="Listaconvietas">
    <w:name w:val="List Bullet"/>
    <w:basedOn w:val="Normal"/>
    <w:uiPriority w:val="99"/>
    <w:unhideWhenUsed/>
    <w:rsid w:val="00326F90"/>
    <w:pPr>
      <w:numPr>
        <w:numId w:val="1"/>
      </w:numPr>
      <w:contextualSpacing/>
    </w:pPr>
  </w:style>
  <w:style w:type="paragraph" w:styleId="Listaconvietas2">
    <w:name w:val="List Bullet 2"/>
    <w:basedOn w:val="Normal"/>
    <w:uiPriority w:val="99"/>
    <w:unhideWhenUsed/>
    <w:rsid w:val="00326F90"/>
    <w:pPr>
      <w:numPr>
        <w:numId w:val="2"/>
      </w:numPr>
      <w:contextualSpacing/>
    </w:pPr>
  </w:style>
  <w:style w:type="paragraph" w:styleId="Listaconvietas3">
    <w:name w:val="List Bullet 3"/>
    <w:basedOn w:val="Normal"/>
    <w:uiPriority w:val="99"/>
    <w:unhideWhenUsed/>
    <w:rsid w:val="00326F90"/>
    <w:pPr>
      <w:numPr>
        <w:numId w:val="3"/>
      </w:numPr>
      <w:contextualSpacing/>
    </w:pPr>
  </w:style>
  <w:style w:type="paragraph" w:styleId="Listaconnmeros">
    <w:name w:val="List Number"/>
    <w:basedOn w:val="Normal"/>
    <w:uiPriority w:val="99"/>
    <w:unhideWhenUsed/>
    <w:rsid w:val="00326F90"/>
    <w:pPr>
      <w:numPr>
        <w:numId w:val="5"/>
      </w:numPr>
      <w:contextualSpacing/>
    </w:pPr>
  </w:style>
  <w:style w:type="paragraph" w:styleId="Listaconnmeros2">
    <w:name w:val="List Number 2"/>
    <w:basedOn w:val="Normal"/>
    <w:uiPriority w:val="99"/>
    <w:unhideWhenUsed/>
    <w:rsid w:val="0029639D"/>
    <w:pPr>
      <w:numPr>
        <w:numId w:val="6"/>
      </w:numPr>
      <w:contextualSpacing/>
    </w:pPr>
  </w:style>
  <w:style w:type="paragraph" w:styleId="Listaconnmeros3">
    <w:name w:val="List Number 3"/>
    <w:basedOn w:val="Normal"/>
    <w:uiPriority w:val="99"/>
    <w:unhideWhenUsed/>
    <w:rsid w:val="0029639D"/>
    <w:pPr>
      <w:numPr>
        <w:numId w:val="7"/>
      </w:numPr>
      <w:contextualSpacing/>
    </w:pPr>
  </w:style>
  <w:style w:type="paragraph" w:styleId="Continuarlista">
    <w:name w:val="List Continue"/>
    <w:basedOn w:val="Normal"/>
    <w:uiPriority w:val="99"/>
    <w:unhideWhenUsed/>
    <w:rsid w:val="0029639D"/>
    <w:pPr>
      <w:spacing w:after="120"/>
      <w:ind w:left="360"/>
      <w:contextualSpacing/>
    </w:pPr>
  </w:style>
  <w:style w:type="paragraph" w:styleId="Continuarlista2">
    <w:name w:val="List Continue 2"/>
    <w:basedOn w:val="Normal"/>
    <w:uiPriority w:val="99"/>
    <w:unhideWhenUsed/>
    <w:rsid w:val="0029639D"/>
    <w:pPr>
      <w:spacing w:after="120"/>
      <w:ind w:left="720"/>
      <w:contextualSpacing/>
    </w:pPr>
  </w:style>
  <w:style w:type="paragraph" w:styleId="Continuarlista3">
    <w:name w:val="List Continue 3"/>
    <w:basedOn w:val="Normal"/>
    <w:uiPriority w:val="99"/>
    <w:unhideWhenUsed/>
    <w:rsid w:val="0029639D"/>
    <w:pPr>
      <w:spacing w:after="120"/>
      <w:ind w:left="1080"/>
      <w:contextualSpacing/>
    </w:pPr>
  </w:style>
  <w:style w:type="paragraph" w:styleId="Textomacro">
    <w:name w:val="macro"/>
    <w:link w:val="TextomacroC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TextomacroCar">
    <w:name w:val="Texto macro Car"/>
    <w:basedOn w:val="Fuentedeprrafopredeter"/>
    <w:link w:val="Textomacro"/>
    <w:uiPriority w:val="99"/>
    <w:rsid w:val="0029639D"/>
    <w:rPr>
      <w:rFonts w:ascii="Courier" w:hAnsi="Courier"/>
      <w:sz w:val="20"/>
      <w:szCs w:val="20"/>
    </w:rPr>
  </w:style>
  <w:style w:type="paragraph" w:styleId="Cita">
    <w:name w:val="Quote"/>
    <w:basedOn w:val="Normal"/>
    <w:next w:val="Normal"/>
    <w:link w:val="CitaCar"/>
    <w:uiPriority w:val="29"/>
    <w:qFormat/>
    <w:rsid w:val="00FC693F"/>
    <w:rPr>
      <w:i/>
      <w:iCs/>
      <w:color w:val="000000" w:themeColor="text1"/>
    </w:rPr>
  </w:style>
  <w:style w:type="character" w:customStyle="1" w:styleId="CitaCar">
    <w:name w:val="Cita Car"/>
    <w:basedOn w:val="Fuentedeprrafopredeter"/>
    <w:link w:val="Cita"/>
    <w:uiPriority w:val="29"/>
    <w:rsid w:val="00FC693F"/>
    <w:rPr>
      <w:i/>
      <w:iCs/>
      <w:color w:val="000000" w:themeColor="text1"/>
    </w:rPr>
  </w:style>
  <w:style w:type="character" w:customStyle="1" w:styleId="Ttulo4Car">
    <w:name w:val="Título 4 Car"/>
    <w:basedOn w:val="Fuentedeprrafopredeter"/>
    <w:link w:val="Ttulo4"/>
    <w:uiPriority w:val="9"/>
    <w:semiHidden/>
    <w:rsid w:val="00FC693F"/>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FC693F"/>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FC693F"/>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FC693F"/>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FC693F"/>
    <w:rPr>
      <w:rFonts w:asciiTheme="majorHAnsi" w:eastAsiaTheme="majorEastAsia" w:hAnsiTheme="majorHAnsi" w:cstheme="majorBidi"/>
      <w:color w:val="4F81BD" w:themeColor="accent1"/>
      <w:sz w:val="20"/>
      <w:szCs w:val="20"/>
    </w:rPr>
  </w:style>
  <w:style w:type="character" w:customStyle="1" w:styleId="Ttulo9Car">
    <w:name w:val="Título 9 Car"/>
    <w:basedOn w:val="Fuentedeprrafopredeter"/>
    <w:link w:val="Ttulo9"/>
    <w:uiPriority w:val="9"/>
    <w:semiHidden/>
    <w:rsid w:val="00FC693F"/>
    <w:rPr>
      <w:rFonts w:asciiTheme="majorHAnsi" w:eastAsiaTheme="majorEastAsia" w:hAnsiTheme="majorHAnsi" w:cstheme="majorBidi"/>
      <w:i/>
      <w:iCs/>
      <w:color w:val="404040" w:themeColor="text1" w:themeTint="BF"/>
      <w:sz w:val="20"/>
      <w:szCs w:val="20"/>
    </w:rPr>
  </w:style>
  <w:style w:type="paragraph" w:styleId="Descripci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Textoennegrita">
    <w:name w:val="Strong"/>
    <w:basedOn w:val="Fuentedeprrafopredeter"/>
    <w:uiPriority w:val="22"/>
    <w:qFormat/>
    <w:rsid w:val="00FC693F"/>
    <w:rPr>
      <w:b/>
      <w:bCs/>
    </w:rPr>
  </w:style>
  <w:style w:type="character" w:styleId="nfasis">
    <w:name w:val="Emphasis"/>
    <w:basedOn w:val="Fuentedeprrafopredeter"/>
    <w:uiPriority w:val="20"/>
    <w:qFormat/>
    <w:rsid w:val="00FC693F"/>
    <w:rPr>
      <w:i/>
      <w:iCs/>
    </w:rPr>
  </w:style>
  <w:style w:type="paragraph" w:styleId="Citadestacada">
    <w:name w:val="Intense Quote"/>
    <w:basedOn w:val="Normal"/>
    <w:next w:val="Normal"/>
    <w:link w:val="CitadestacadaC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CitadestacadaCar">
    <w:name w:val="Cita destacada Car"/>
    <w:basedOn w:val="Fuentedeprrafopredeter"/>
    <w:link w:val="Citadestacada"/>
    <w:uiPriority w:val="30"/>
    <w:rsid w:val="00FC693F"/>
    <w:rPr>
      <w:b/>
      <w:bCs/>
      <w:i/>
      <w:iCs/>
      <w:color w:val="4F81BD" w:themeColor="accent1"/>
    </w:rPr>
  </w:style>
  <w:style w:type="character" w:styleId="nfasissutil">
    <w:name w:val="Subtle Emphasis"/>
    <w:basedOn w:val="Fuentedeprrafopredeter"/>
    <w:uiPriority w:val="19"/>
    <w:qFormat/>
    <w:rsid w:val="00FC693F"/>
    <w:rPr>
      <w:i/>
      <w:iCs/>
      <w:color w:val="808080" w:themeColor="text1" w:themeTint="7F"/>
    </w:rPr>
  </w:style>
  <w:style w:type="character" w:styleId="nfasisintenso">
    <w:name w:val="Intense Emphasis"/>
    <w:basedOn w:val="Fuentedeprrafopredeter"/>
    <w:uiPriority w:val="21"/>
    <w:qFormat/>
    <w:rsid w:val="00FC693F"/>
    <w:rPr>
      <w:b/>
      <w:bCs/>
      <w:i/>
      <w:iCs/>
      <w:color w:val="4F81BD" w:themeColor="accent1"/>
    </w:rPr>
  </w:style>
  <w:style w:type="character" w:styleId="Referenciasutil">
    <w:name w:val="Subtle Reference"/>
    <w:basedOn w:val="Fuentedeprrafopredeter"/>
    <w:uiPriority w:val="31"/>
    <w:qFormat/>
    <w:rsid w:val="00FC693F"/>
    <w:rPr>
      <w:smallCaps/>
      <w:color w:val="C0504D" w:themeColor="accent2"/>
      <w:u w:val="single"/>
    </w:rPr>
  </w:style>
  <w:style w:type="character" w:styleId="Referenciaintensa">
    <w:name w:val="Intense Reference"/>
    <w:basedOn w:val="Fuentedeprrafopredeter"/>
    <w:uiPriority w:val="32"/>
    <w:qFormat/>
    <w:rsid w:val="00FC693F"/>
    <w:rPr>
      <w:b/>
      <w:bCs/>
      <w:smallCaps/>
      <w:color w:val="C0504D" w:themeColor="accent2"/>
      <w:spacing w:val="5"/>
      <w:u w:val="single"/>
    </w:rPr>
  </w:style>
  <w:style w:type="character" w:styleId="Ttulodellibro">
    <w:name w:val="Book Title"/>
    <w:basedOn w:val="Fuentedeprrafopredeter"/>
    <w:uiPriority w:val="33"/>
    <w:qFormat/>
    <w:rsid w:val="00FC693F"/>
    <w:rPr>
      <w:b/>
      <w:bCs/>
      <w:smallCaps/>
      <w:spacing w:val="5"/>
    </w:rPr>
  </w:style>
  <w:style w:type="paragraph" w:styleId="TtulodeTDC">
    <w:name w:val="TOC Heading"/>
    <w:basedOn w:val="Ttulo1"/>
    <w:next w:val="Normal"/>
    <w:uiPriority w:val="39"/>
    <w:semiHidden/>
    <w:unhideWhenUsed/>
    <w:qFormat/>
    <w:rsid w:val="00FC693F"/>
    <w:pPr>
      <w:outlineLvl w:val="9"/>
    </w:pPr>
  </w:style>
  <w:style w:type="table" w:styleId="Tablaconcuadrcula">
    <w:name w:val="Table Grid"/>
    <w:basedOn w:val="Tabla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ombreadoclaro">
    <w:name w:val="Light Shading"/>
    <w:basedOn w:val="Tabla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Sombreadoclaro-nfasis1">
    <w:name w:val="Light Shading Accent 1"/>
    <w:basedOn w:val="Tabla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claro-nfasis2">
    <w:name w:val="Light Shading Accent 2"/>
    <w:basedOn w:val="Tabla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Sombreadoclaro-nfasis3">
    <w:name w:val="Light Shading Accent 3"/>
    <w:basedOn w:val="Tabla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Sombreadoclaro-nfasis4">
    <w:name w:val="Light Shading Accent 4"/>
    <w:basedOn w:val="Tabla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Sombreadoclaro-nfasis5">
    <w:name w:val="Light Shading Accent 5"/>
    <w:basedOn w:val="Tabla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Sombreadoclaro-nfasis6">
    <w:name w:val="Light Shading Accent 6"/>
    <w:basedOn w:val="Tabla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staclara">
    <w:name w:val="Light List"/>
    <w:basedOn w:val="Tabla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staclara-nfasis1">
    <w:name w:val="Light List Accent 1"/>
    <w:basedOn w:val="Tabla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staclara-nfasis2">
    <w:name w:val="Light List Accent 2"/>
    <w:basedOn w:val="Tabla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staclara-nfasis3">
    <w:name w:val="Light List Accent 3"/>
    <w:basedOn w:val="Tabla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staclara-nfasis4">
    <w:name w:val="Light List Accent 4"/>
    <w:basedOn w:val="Tabla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staclara-nfasis5">
    <w:name w:val="Light List Accent 5"/>
    <w:basedOn w:val="Tabla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staclara-nfasis6">
    <w:name w:val="Light List Accent 6"/>
    <w:basedOn w:val="Tabla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Cuadrculaclara">
    <w:name w:val="Light Grid"/>
    <w:basedOn w:val="Tabla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Cuadrculaclara-nfasis1">
    <w:name w:val="Light Grid Accent 1"/>
    <w:basedOn w:val="Tabla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Cuadrculaclara-nfasis2">
    <w:name w:val="Light Grid Accent 2"/>
    <w:basedOn w:val="Tabla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Cuadrculaclara-nfasis3">
    <w:name w:val="Light Grid Accent 3"/>
    <w:basedOn w:val="Tabla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Cuadrculaclara-nfasis4">
    <w:name w:val="Light Grid Accent 4"/>
    <w:basedOn w:val="Tabla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Cuadrculaclara-nfasis5">
    <w:name w:val="Light Grid Accent 5"/>
    <w:basedOn w:val="Tabla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Cuadrculaclara-nfasis6">
    <w:name w:val="Light Grid Accent 6"/>
    <w:basedOn w:val="Tabla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Sombreadomedio1">
    <w:name w:val="Medium Shading 1"/>
    <w:basedOn w:val="Tabla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Sombreadomedio1-nfasis1">
    <w:name w:val="Medium Shading 1 Accent 1"/>
    <w:basedOn w:val="Tabla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Sombreadomedio1-nfasis2">
    <w:name w:val="Medium Shading 1 Accent 2"/>
    <w:basedOn w:val="Tabla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Sombreadomedio1-nfasis3">
    <w:name w:val="Medium Shading 1 Accent 3"/>
    <w:basedOn w:val="Tabla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Sombreadomedio1-nfasis4">
    <w:name w:val="Medium Shading 1 Accent 4"/>
    <w:basedOn w:val="Tabla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Sombreadomedio1-nfasis5">
    <w:name w:val="Medium Shading 1 Accent 5"/>
    <w:basedOn w:val="Tabla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Sombreadomedio1-nfasis6">
    <w:name w:val="Medium Shading 1 Accent 6"/>
    <w:basedOn w:val="Tabla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Sombreadomedio2">
    <w:name w:val="Medium Shading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1">
    <w:name w:val="Medium Shading 2 Accent 1"/>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2">
    <w:name w:val="Medium Shading 2 Accent 2"/>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3">
    <w:name w:val="Medium Shading 2 Accent 3"/>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4">
    <w:name w:val="Medium Shading 2 Accent 4"/>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5">
    <w:name w:val="Medium Shading 2 Accent 5"/>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Sombreadomedio2-nfasis6">
    <w:name w:val="Medium Shading 2 Accent 6"/>
    <w:basedOn w:val="Tabla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stamedia1">
    <w:name w:val="Medium List 1"/>
    <w:basedOn w:val="Tabla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Listamedia1-nfasis1">
    <w:name w:val="Medium List 1 Accent 1"/>
    <w:basedOn w:val="Tabla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Listamedia1-nfasis2">
    <w:name w:val="Medium List 1 Accent 2"/>
    <w:basedOn w:val="Tabla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Listamedia1-nfasis3">
    <w:name w:val="Medium List 1 Accent 3"/>
    <w:basedOn w:val="Tabla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Listamedia1-nfasis4">
    <w:name w:val="Medium List 1 Accent 4"/>
    <w:basedOn w:val="Tabla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stamedia1-nfasis5">
    <w:name w:val="Medium List 1 Accent 5"/>
    <w:basedOn w:val="Tabla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Listamedia1-nfasis6">
    <w:name w:val="Medium List 1 Accent 6"/>
    <w:basedOn w:val="Tabla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Listamedia2">
    <w:name w:val="Medium Lis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2">
    <w:name w:val="Medium List 2 Accent 2"/>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3">
    <w:name w:val="Medium List 2 Accent 3"/>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4">
    <w:name w:val="Medium List 2 Accent 4"/>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5">
    <w:name w:val="Medium List 2 Accent 5"/>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6">
    <w:name w:val="Medium List 2 Accent 6"/>
    <w:basedOn w:val="Tabla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Cuadrculamedia1">
    <w:name w:val="Medium Grid 1"/>
    <w:basedOn w:val="Tabla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media1-nfasis1">
    <w:name w:val="Medium Grid 1 Accent 1"/>
    <w:basedOn w:val="Tabla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media1-nfasis2">
    <w:name w:val="Medium Grid 1 Accent 2"/>
    <w:basedOn w:val="Tabla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media1-nfasis3">
    <w:name w:val="Medium Grid 1 Accent 3"/>
    <w:basedOn w:val="Tabla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media1-nfasis4">
    <w:name w:val="Medium Grid 1 Accent 4"/>
    <w:basedOn w:val="Tabla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media1-nfasis5">
    <w:name w:val="Medium Grid 1 Accent 5"/>
    <w:basedOn w:val="Tabla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media1-nfasis6">
    <w:name w:val="Medium Grid 1 Accent 6"/>
    <w:basedOn w:val="Tabla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uadrculamedia2">
    <w:name w:val="Medium Grid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Cuadrculamedia2-nfasis1">
    <w:name w:val="Medium Grid 2 Accent 1"/>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Cuadrculamedia2-nfasis2">
    <w:name w:val="Medium Grid 2 Accent 2"/>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Cuadrculamedia2-nfasis3">
    <w:name w:val="Medium Grid 2 Accent 3"/>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Cuadrculamedia2-nfasis4">
    <w:name w:val="Medium Grid 2 Accent 4"/>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Cuadrculamedia2-nfasis5">
    <w:name w:val="Medium Grid 2 Accent 5"/>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Cuadrculamedia2-nfasis6">
    <w:name w:val="Medium Grid 2 Accent 6"/>
    <w:basedOn w:val="Tabla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Cuadrculamedia3">
    <w:name w:val="Medium Grid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Cuadrculamedia3-nfasis1">
    <w:name w:val="Medium Grid 3 Accent 1"/>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Cuadrculamedia3-nfasis2">
    <w:name w:val="Medium Grid 3 Accent 2"/>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Cuadrculamedia3-nfasis3">
    <w:name w:val="Medium Grid 3 Accent 3"/>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Cuadrculamedia3-nfasis4">
    <w:name w:val="Medium Grid 3 Accent 4"/>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Cuadrculamedia3-nfasis5">
    <w:name w:val="Medium Grid 3 Accent 5"/>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Cuadrculamedia3-nfasis6">
    <w:name w:val="Medium Grid 3 Accent 6"/>
    <w:basedOn w:val="Tabla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Listaoscura">
    <w:name w:val="Dark List"/>
    <w:basedOn w:val="Tabla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Listaoscura-nfasis1">
    <w:name w:val="Dark List Accent 1"/>
    <w:basedOn w:val="Tabla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Listaoscura-nfasis2">
    <w:name w:val="Dark List Accent 2"/>
    <w:basedOn w:val="Tabla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Listaoscura-nfasis3">
    <w:name w:val="Dark List Accent 3"/>
    <w:basedOn w:val="Tabla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Listaoscura-nfasis4">
    <w:name w:val="Dark List Accent 4"/>
    <w:basedOn w:val="Tabla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Listaoscura-nfasis5">
    <w:name w:val="Dark List Accent 5"/>
    <w:basedOn w:val="Tabla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Listaoscura-nfasis6">
    <w:name w:val="Dark List Accent 6"/>
    <w:basedOn w:val="Tabla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Sombreadovistoso">
    <w:name w:val="Colorful Shading"/>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Sombreadovistoso-nfasis1">
    <w:name w:val="Colorful Shading Accent 1"/>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Sombreadovistoso-nfasis2">
    <w:name w:val="Colorful Shading Accent 2"/>
    <w:basedOn w:val="Tabla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Sombreadovistoso-nfasis3">
    <w:name w:val="Colorful Shading Accent 3"/>
    <w:basedOn w:val="Tabla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Sombreadovistoso-nfasis4">
    <w:name w:val="Colorful Shading Accent 4"/>
    <w:basedOn w:val="Tabla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Sombreadovistoso-nfasis5">
    <w:name w:val="Colorful Shading Accent 5"/>
    <w:basedOn w:val="Tabla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Sombreadovistoso-nfasis6">
    <w:name w:val="Colorful Shading Accent 6"/>
    <w:basedOn w:val="Tabla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Listavistosa">
    <w:name w:val="Colorful List"/>
    <w:basedOn w:val="Tabla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stavistosa-nfasis1">
    <w:name w:val="Colorful List Accent 1"/>
    <w:basedOn w:val="Tabla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Listavistosa-nfasis2">
    <w:name w:val="Colorful List Accent 2"/>
    <w:basedOn w:val="Tabla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Listavistosa-nfasis3">
    <w:name w:val="Colorful List Accent 3"/>
    <w:basedOn w:val="Tabla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Listavistosa-nfasis4">
    <w:name w:val="Colorful List Accent 4"/>
    <w:basedOn w:val="Tabla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vistosa-nfasis5">
    <w:name w:val="Colorful List Accent 5"/>
    <w:basedOn w:val="Tabla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Listavistosa-nfasis6">
    <w:name w:val="Colorful List Accent 6"/>
    <w:basedOn w:val="Tabla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uadrculavistosa">
    <w:name w:val="Colorful Grid"/>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uadrculavistosa-nfasis1">
    <w:name w:val="Colorful Grid Accent 1"/>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uadrculavistosa-nfasis2">
    <w:name w:val="Colorful Grid Accent 2"/>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uadrculavistosa-nfasis3">
    <w:name w:val="Colorful Grid Accent 3"/>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uadrculavistosa-nfasis4">
    <w:name w:val="Colorful Grid Accent 4"/>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uadrculavistosa-nfasis5">
    <w:name w:val="Colorful Grid Accent 5"/>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uadrculavistosa-nfasis6">
    <w:name w:val="Colorful Grid Accent 6"/>
    <w:basedOn w:val="Tabla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Refdecomentario">
    <w:name w:val="annotation reference"/>
    <w:basedOn w:val="Fuentedeprrafopredeter"/>
    <w:uiPriority w:val="99"/>
    <w:semiHidden/>
    <w:unhideWhenUsed/>
    <w:rsid w:val="007E3C23"/>
    <w:rPr>
      <w:sz w:val="16"/>
      <w:szCs w:val="16"/>
    </w:rPr>
  </w:style>
  <w:style w:type="paragraph" w:styleId="Textocomentario">
    <w:name w:val="annotation text"/>
    <w:basedOn w:val="Normal"/>
    <w:link w:val="TextocomentarioCar"/>
    <w:uiPriority w:val="99"/>
    <w:semiHidden/>
    <w:unhideWhenUsed/>
    <w:rsid w:val="007E3C23"/>
    <w:pPr>
      <w:spacing w:line="240" w:lineRule="auto"/>
    </w:pPr>
    <w:rPr>
      <w:rFonts w:asciiTheme="minorHAnsi" w:hAnsiTheme="minorHAnsi"/>
      <w:sz w:val="20"/>
      <w:szCs w:val="20"/>
    </w:rPr>
  </w:style>
  <w:style w:type="character" w:customStyle="1" w:styleId="TextocomentarioCar">
    <w:name w:val="Texto comentario Car"/>
    <w:basedOn w:val="Fuentedeprrafopredeter"/>
    <w:link w:val="Textocomentario"/>
    <w:uiPriority w:val="99"/>
    <w:semiHidden/>
    <w:rsid w:val="007E3C23"/>
    <w:rPr>
      <w:sz w:val="20"/>
      <w:szCs w:val="20"/>
    </w:rPr>
  </w:style>
  <w:style w:type="paragraph" w:styleId="Textodeglobo">
    <w:name w:val="Balloon Text"/>
    <w:basedOn w:val="Normal"/>
    <w:link w:val="TextodegloboCar"/>
    <w:uiPriority w:val="99"/>
    <w:semiHidden/>
    <w:unhideWhenUsed/>
    <w:rsid w:val="007E3C23"/>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7E3C23"/>
    <w:rPr>
      <w:rFonts w:ascii="Segoe UI" w:hAnsi="Segoe UI" w:cs="Segoe UI"/>
      <w:sz w:val="18"/>
      <w:szCs w:val="18"/>
    </w:rPr>
  </w:style>
  <w:style w:type="paragraph" w:styleId="Asuntodelcomentario">
    <w:name w:val="annotation subject"/>
    <w:basedOn w:val="Textocomentario"/>
    <w:next w:val="Textocomentario"/>
    <w:link w:val="AsuntodelcomentarioCar"/>
    <w:uiPriority w:val="99"/>
    <w:semiHidden/>
    <w:unhideWhenUsed/>
    <w:rsid w:val="00A40608"/>
    <w:rPr>
      <w:rFonts w:ascii="Arial" w:hAnsi="Arial"/>
      <w:b/>
      <w:bCs/>
    </w:rPr>
  </w:style>
  <w:style w:type="character" w:customStyle="1" w:styleId="AsuntodelcomentarioCar">
    <w:name w:val="Asunto del comentario Car"/>
    <w:basedOn w:val="TextocomentarioCar"/>
    <w:link w:val="Asuntodelcomentario"/>
    <w:uiPriority w:val="99"/>
    <w:semiHidden/>
    <w:rsid w:val="00A40608"/>
    <w:rPr>
      <w:rFonts w:ascii="Arial" w:hAnsi="Arial"/>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comments.xml.rels><?xml version="1.0" encoding="UTF-8" standalone="yes"?>
<Relationships xmlns="http://schemas.openxmlformats.org/package/2006/relationships"><Relationship Id="rId8" Type="http://schemas.openxmlformats.org/officeDocument/2006/relationships/hyperlink" Target="http://www.scielo.org.co/scielo.php?script=sci_arttext&amp;pid=S0120-63462020000200285" TargetMode="External"/><Relationship Id="rId3" Type="http://schemas.openxmlformats.org/officeDocument/2006/relationships/hyperlink" Target="https://www.cepal.org/sites/default/files/events/files/florez_soto.pdf" TargetMode="External"/><Relationship Id="rId7" Type="http://schemas.openxmlformats.org/officeDocument/2006/relationships/hyperlink" Target="https://ideas.repec.org/p/idb/brikps/6789.html" TargetMode="External"/><Relationship Id="rId2" Type="http://schemas.openxmlformats.org/officeDocument/2006/relationships/hyperlink" Target="https://www.sdp.gov.co/transparencia/informacion-interes/publicaciones/estudios/039-segregacion-socioespacial-bogota" TargetMode="External"/><Relationship Id="rId1" Type="http://schemas.openxmlformats.org/officeDocument/2006/relationships/hyperlink" Target="https://www.eure.cl/index.php/eure/article/view/1258" TargetMode="External"/><Relationship Id="rId6" Type="http://schemas.openxmlformats.org/officeDocument/2006/relationships/hyperlink" Target="https://habitat3.org/wp-content/uploads/Issue-Paper-11_Public_Space-SP.pdf" TargetMode="External"/><Relationship Id="rId5" Type="http://schemas.openxmlformats.org/officeDocument/2006/relationships/hyperlink" Target="https://habitat3.org/wp-content/uploads/Issue-Paper-11_Public_Space-SP.pdf" TargetMode="External"/><Relationship Id="rId4" Type="http://schemas.openxmlformats.org/officeDocument/2006/relationships/hyperlink" Target="https://www.paho.org/es/documentos/acelerar-progreso-hacia-reduccion-embarazo-adolescencia-america-latina-caribe" TargetMode="External"/></Relationship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microsoft.com/office/2011/relationships/commentsExtended" Target="commentsExtended.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comments" Target="comment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F22FF3-CEE2-4CDD-B192-D5A43FAA70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TotalTime>
  <Pages>17</Pages>
  <Words>4520</Words>
  <Characters>24866</Characters>
  <Application>Microsoft Office Word</Application>
  <DocSecurity>0</DocSecurity>
  <Lines>207</Lines>
  <Paragraphs>58</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29328</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Cuenta Microsoft</cp:lastModifiedBy>
  <cp:revision>15</cp:revision>
  <dcterms:created xsi:type="dcterms:W3CDTF">2026-06-04T03:51:00Z</dcterms:created>
  <dcterms:modified xsi:type="dcterms:W3CDTF">2026-06-04T05:30:00Z</dcterms:modified>
  <cp:category/>
</cp:coreProperties>
</file>